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7F9BCB80" w:rsidR="00F01182" w:rsidRPr="002D6524"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Pr="00AB081E">
        <w:rPr>
          <w:rFonts w:cs="Arial"/>
          <w:sz w:val="24"/>
          <w:szCs w:val="24"/>
        </w:rPr>
        <w:t>9</w:t>
      </w:r>
      <w:r w:rsidR="00F94E10" w:rsidRPr="00AB081E">
        <w:rPr>
          <w:rFonts w:cs="Arial"/>
          <w:sz w:val="24"/>
          <w:szCs w:val="24"/>
        </w:rPr>
        <w:t>9</w:t>
      </w:r>
      <w:r w:rsidRPr="00AB081E">
        <w:rPr>
          <w:rFonts w:cs="Arial"/>
          <w:sz w:val="24"/>
          <w:szCs w:val="24"/>
        </w:rPr>
        <w:t>-e</w:t>
      </w:r>
      <w:r w:rsidRPr="002D6524">
        <w:rPr>
          <w:rFonts w:cs="Arial"/>
          <w:noProof w:val="0"/>
          <w:sz w:val="24"/>
        </w:rPr>
        <w:tab/>
      </w:r>
      <w:r w:rsidRPr="002D6524">
        <w:rPr>
          <w:rFonts w:cs="Arial"/>
          <w:noProof w:val="0"/>
          <w:sz w:val="24"/>
        </w:rPr>
        <w:tab/>
      </w:r>
      <w:r w:rsidRPr="002536F8">
        <w:rPr>
          <w:rFonts w:cs="Arial"/>
          <w:noProof w:val="0"/>
          <w:sz w:val="24"/>
        </w:rPr>
        <w:t>R4-</w:t>
      </w:r>
      <w:bookmarkStart w:id="0" w:name="_Hlk71676606"/>
      <w:r w:rsidR="00796A0D" w:rsidRPr="002536F8">
        <w:rPr>
          <w:rFonts w:cs="Arial"/>
          <w:noProof w:val="0"/>
          <w:sz w:val="24"/>
        </w:rPr>
        <w:t>2</w:t>
      </w:r>
      <w:r w:rsidR="00796A0D">
        <w:rPr>
          <w:rFonts w:cs="Arial"/>
          <w:noProof w:val="0"/>
          <w:sz w:val="24"/>
        </w:rPr>
        <w:t>1109</w:t>
      </w:r>
      <w:r w:rsidR="00796A0D">
        <w:rPr>
          <w:rFonts w:cs="Arial"/>
          <w:noProof w:val="0"/>
          <w:sz w:val="24"/>
        </w:rPr>
        <w:t>53</w:t>
      </w:r>
      <w:bookmarkEnd w:id="0"/>
    </w:p>
    <w:p w14:paraId="67F14A92" w14:textId="2DA53F37" w:rsidR="00F01182" w:rsidRPr="00AB081E" w:rsidRDefault="00F01182" w:rsidP="00F01182">
      <w:pPr>
        <w:pStyle w:val="Header"/>
        <w:tabs>
          <w:tab w:val="right" w:pos="8280"/>
          <w:tab w:val="right" w:pos="9639"/>
        </w:tabs>
        <w:jc w:val="both"/>
        <w:rPr>
          <w:rFonts w:cs="Arial"/>
          <w:sz w:val="24"/>
          <w:szCs w:val="24"/>
        </w:rPr>
      </w:pPr>
      <w:r w:rsidRPr="00AB081E">
        <w:rPr>
          <w:rFonts w:cs="Arial"/>
          <w:sz w:val="24"/>
          <w:szCs w:val="24"/>
        </w:rPr>
        <w:t xml:space="preserve">E-meeting, </w:t>
      </w:r>
      <w:r w:rsidR="00025ABE" w:rsidRPr="00AB081E">
        <w:rPr>
          <w:rFonts w:cs="Arial"/>
          <w:sz w:val="24"/>
          <w:szCs w:val="24"/>
        </w:rPr>
        <w:t>19</w:t>
      </w:r>
      <w:r w:rsidRPr="00AB081E">
        <w:rPr>
          <w:rFonts w:cs="Arial"/>
          <w:sz w:val="24"/>
          <w:szCs w:val="24"/>
        </w:rPr>
        <w:t xml:space="preserve"> </w:t>
      </w:r>
      <w:r w:rsidR="00F94E10" w:rsidRPr="00AB081E">
        <w:rPr>
          <w:rFonts w:cs="Arial"/>
          <w:sz w:val="24"/>
          <w:szCs w:val="24"/>
        </w:rPr>
        <w:t>May</w:t>
      </w:r>
      <w:r w:rsidRPr="00AB081E">
        <w:rPr>
          <w:rFonts w:cs="Arial"/>
          <w:sz w:val="24"/>
          <w:szCs w:val="24"/>
        </w:rPr>
        <w:t xml:space="preserve"> – 2</w:t>
      </w:r>
      <w:r w:rsidR="00F94E10" w:rsidRPr="00AB081E">
        <w:rPr>
          <w:rFonts w:cs="Arial"/>
          <w:sz w:val="24"/>
          <w:szCs w:val="24"/>
        </w:rPr>
        <w:t>7</w:t>
      </w:r>
      <w:r w:rsidRPr="00AB081E">
        <w:rPr>
          <w:rFonts w:cs="Arial"/>
          <w:sz w:val="24"/>
          <w:szCs w:val="24"/>
        </w:rPr>
        <w:t xml:space="preserve"> </w:t>
      </w:r>
      <w:r w:rsidR="00F94E10" w:rsidRPr="00AB081E">
        <w:rPr>
          <w:rFonts w:cs="Arial"/>
          <w:sz w:val="24"/>
          <w:szCs w:val="24"/>
        </w:rPr>
        <w:t>May</w:t>
      </w:r>
      <w:r w:rsidRPr="00AB081E">
        <w:rPr>
          <w:rFonts w:cs="Arial"/>
          <w:sz w:val="24"/>
          <w:szCs w:val="24"/>
        </w:rPr>
        <w:t>,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78A4FA4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1" w:name="Source"/>
      <w:bookmarkEnd w:id="1"/>
      <w:r w:rsidR="00C65EF3" w:rsidRPr="00AB081E">
        <w:rPr>
          <w:rFonts w:ascii="Arial" w:hAnsi="Arial" w:cs="Arial"/>
          <w:b/>
          <w:sz w:val="24"/>
        </w:rPr>
        <w:t>9.</w:t>
      </w:r>
      <w:r w:rsidR="006B6119">
        <w:rPr>
          <w:rFonts w:ascii="Arial" w:hAnsi="Arial" w:cs="Arial"/>
          <w:b/>
          <w:sz w:val="24"/>
        </w:rPr>
        <w:t>8.2.2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1A8E5C5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6B6119">
        <w:rPr>
          <w:rFonts w:ascii="Arial" w:hAnsi="Arial" w:cs="Arial"/>
          <w:b/>
          <w:sz w:val="24"/>
        </w:rPr>
        <w:t>Discussion on</w:t>
      </w:r>
      <w:r w:rsidR="009A67DD">
        <w:rPr>
          <w:rFonts w:ascii="Arial" w:hAnsi="Arial" w:cs="Arial"/>
          <w:b/>
          <w:sz w:val="24"/>
        </w:rPr>
        <w:t xml:space="preserve"> </w:t>
      </w:r>
      <w:r w:rsidR="009A67DD">
        <w:rPr>
          <w:rFonts w:ascii="Arial" w:hAnsi="Arial" w:cs="Arial"/>
          <w:b/>
          <w:sz w:val="24"/>
        </w:rPr>
        <w:t>FR2 HST</w:t>
      </w:r>
      <w:r w:rsidR="006B6119">
        <w:rPr>
          <w:rFonts w:ascii="Arial" w:hAnsi="Arial" w:cs="Arial"/>
          <w:b/>
          <w:sz w:val="24"/>
        </w:rPr>
        <w:t xml:space="preserve"> Scenario-B deployment aspects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2" w:name="DocumentFor"/>
      <w:bookmarkEnd w:id="2"/>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8DE031B" w14:textId="7EF26699" w:rsidR="00110A5A" w:rsidRPr="00AF0646" w:rsidRDefault="00110A5A" w:rsidP="00F01182">
      <w:pPr>
        <w:jc w:val="both"/>
      </w:pPr>
      <w:r w:rsidRPr="00AF0646">
        <w:t xml:space="preserve">During the RAN4 98-bis-e meeting the following </w:t>
      </w:r>
      <w:bookmarkStart w:id="3" w:name="_Hlk71405257"/>
      <w:r w:rsidRPr="00AF0646">
        <w:t xml:space="preserve">issues related to Scenario-B deployment aspects </w:t>
      </w:r>
      <w:bookmarkEnd w:id="3"/>
      <w:r w:rsidRPr="00AF0646">
        <w:t>in FR2 HST were left FFS [1]:</w:t>
      </w:r>
    </w:p>
    <w:p w14:paraId="3456F365" w14:textId="72F9F742" w:rsidR="00110A5A" w:rsidRPr="00AF0646" w:rsidRDefault="00110A5A" w:rsidP="00110A5A">
      <w:pPr>
        <w:pStyle w:val="ListParagraph"/>
        <w:numPr>
          <w:ilvl w:val="0"/>
          <w:numId w:val="4"/>
        </w:numPr>
        <w:jc w:val="both"/>
      </w:pPr>
      <w:r w:rsidRPr="00AF0646">
        <w:t>Number of beams per RRH panel</w:t>
      </w:r>
      <w:r w:rsidR="00AF0646" w:rsidRPr="00AF0646">
        <w:t xml:space="preserve"> for uni- and bi- directional deployment</w:t>
      </w:r>
    </w:p>
    <w:p w14:paraId="2023C0BE" w14:textId="398A0E0B" w:rsidR="00110A5A" w:rsidRPr="00AF0646" w:rsidRDefault="00110A5A" w:rsidP="00AF0646">
      <w:pPr>
        <w:pStyle w:val="ListParagraph"/>
        <w:numPr>
          <w:ilvl w:val="0"/>
          <w:numId w:val="4"/>
        </w:numPr>
        <w:jc w:val="both"/>
      </w:pPr>
      <w:r w:rsidRPr="00AF0646">
        <w:t>Number of beams per UE panel</w:t>
      </w:r>
      <w:r w:rsidR="00AF0646" w:rsidRPr="00AF0646">
        <w:t xml:space="preserve"> for uni- and bi- directional deployment</w:t>
      </w:r>
    </w:p>
    <w:p w14:paraId="626B7241" w14:textId="77777777" w:rsidR="00110A5A" w:rsidRPr="00110A5A" w:rsidRDefault="00110A5A" w:rsidP="00110A5A">
      <w:pPr>
        <w:pStyle w:val="ListParagraph"/>
        <w:numPr>
          <w:ilvl w:val="0"/>
          <w:numId w:val="4"/>
        </w:numPr>
        <w:jc w:val="both"/>
        <w:rPr>
          <w:lang w:val="en-US"/>
        </w:rPr>
      </w:pPr>
      <w:r w:rsidRPr="00110A5A">
        <w:rPr>
          <w:lang w:val="en-US"/>
        </w:rPr>
        <w:t>RRH Beam switching point for uni-directional RRH deployment, Scenario-B</w:t>
      </w:r>
    </w:p>
    <w:p w14:paraId="39B76E11" w14:textId="0E5FB443" w:rsidR="00110A5A" w:rsidRPr="00110A5A" w:rsidRDefault="00110A5A" w:rsidP="00110A5A">
      <w:pPr>
        <w:pStyle w:val="ListParagraph"/>
        <w:numPr>
          <w:ilvl w:val="0"/>
          <w:numId w:val="4"/>
        </w:numPr>
        <w:jc w:val="both"/>
        <w:rPr>
          <w:lang w:val="en-US"/>
        </w:rPr>
      </w:pPr>
      <w:r w:rsidRPr="00110A5A">
        <w:rPr>
          <w:lang w:val="en-US"/>
        </w:rPr>
        <w:t xml:space="preserve">Beam dwelling time for uni-directional </w:t>
      </w:r>
      <w:r w:rsidR="00AF0646" w:rsidRPr="00AF0646">
        <w:rPr>
          <w:lang w:val="en-US"/>
        </w:rPr>
        <w:t xml:space="preserve">and bi-directional </w:t>
      </w:r>
      <w:r w:rsidRPr="00110A5A">
        <w:rPr>
          <w:lang w:val="en-US"/>
        </w:rPr>
        <w:t>RRH deployment, Scenario-B</w:t>
      </w:r>
    </w:p>
    <w:p w14:paraId="47E4DD41" w14:textId="71585478" w:rsidR="00110A5A" w:rsidRPr="00AF0646" w:rsidRDefault="00AF0646" w:rsidP="00110A5A">
      <w:pPr>
        <w:pStyle w:val="ListParagraph"/>
        <w:numPr>
          <w:ilvl w:val="0"/>
          <w:numId w:val="4"/>
        </w:numPr>
        <w:jc w:val="both"/>
      </w:pPr>
      <w:r w:rsidRPr="00AF0646">
        <w:t>P</w:t>
      </w:r>
      <w:r w:rsidR="00110A5A" w:rsidRPr="00AF0646">
        <w:t>ros and cons between bi-directional deployment and uni-directional deployment</w:t>
      </w:r>
    </w:p>
    <w:p w14:paraId="018FC207" w14:textId="07CD3B07" w:rsidR="00F01182" w:rsidRPr="00AF0646" w:rsidRDefault="00110A5A" w:rsidP="00F01182">
      <w:pPr>
        <w:jc w:val="both"/>
      </w:pPr>
      <w:r w:rsidRPr="00AF0646">
        <w:t>In this contribution we provide our views on the above-mentioned issues</w:t>
      </w:r>
    </w:p>
    <w:p w14:paraId="0313439D" w14:textId="77777777" w:rsidR="00F01182" w:rsidRPr="00146B4F" w:rsidRDefault="00F01182" w:rsidP="00F01182">
      <w:pPr>
        <w:pStyle w:val="Heading1"/>
      </w:pPr>
      <w:r>
        <w:t>Discussion</w:t>
      </w:r>
    </w:p>
    <w:p w14:paraId="5AC352F4" w14:textId="669C5BF0" w:rsidR="006B78C6" w:rsidRPr="006B78C6" w:rsidRDefault="006B78C6" w:rsidP="00E25782">
      <w:pPr>
        <w:jc w:val="both"/>
      </w:pPr>
      <w:r>
        <w:rPr>
          <w:lang w:eastAsia="ja-JP" w:bidi="hi-IN"/>
        </w:rPr>
        <w:t xml:space="preserve">As in our previous contributions for justification of the proposals made in this </w:t>
      </w:r>
      <w:r w:rsidR="0038168A">
        <w:rPr>
          <w:lang w:eastAsia="ja-JP" w:bidi="hi-IN"/>
        </w:rPr>
        <w:t>paper,</w:t>
      </w:r>
      <w:r>
        <w:rPr>
          <w:lang w:eastAsia="ja-JP" w:bidi="hi-IN"/>
        </w:rPr>
        <w:t xml:space="preserve"> we will refer to the link budget analysis. </w:t>
      </w:r>
      <w:bookmarkStart w:id="4" w:name="_Hlk71595817"/>
      <w:r>
        <w:rPr>
          <w:lang w:eastAsia="ja-JP" w:bidi="hi-IN"/>
        </w:rPr>
        <w:t xml:space="preserve">The main assumptions were described in </w:t>
      </w:r>
      <w:r w:rsidRPr="00CC5DB4">
        <w:rPr>
          <w:lang w:eastAsia="ja-JP" w:bidi="hi-IN"/>
        </w:rPr>
        <w:t>[</w:t>
      </w:r>
      <w:r w:rsidR="00AF0646" w:rsidRPr="00CC5DB4">
        <w:rPr>
          <w:lang w:eastAsia="ja-JP" w:bidi="hi-IN"/>
        </w:rPr>
        <w:t>2</w:t>
      </w:r>
      <w:r w:rsidRPr="00CC5DB4">
        <w:rPr>
          <w:lang w:eastAsia="ja-JP" w:bidi="hi-IN"/>
        </w:rPr>
        <w:t xml:space="preserve">] </w:t>
      </w:r>
      <w:r>
        <w:rPr>
          <w:lang w:eastAsia="ja-JP" w:bidi="hi-IN"/>
        </w:rPr>
        <w:t xml:space="preserve">and </w:t>
      </w:r>
      <w:r w:rsidRPr="00CC5DB4">
        <w:rPr>
          <w:lang w:eastAsia="ja-JP" w:bidi="hi-IN"/>
        </w:rPr>
        <w:t>[</w:t>
      </w:r>
      <w:r w:rsidR="00AF0646" w:rsidRPr="00CC5DB4">
        <w:rPr>
          <w:lang w:eastAsia="ja-JP" w:bidi="hi-IN"/>
        </w:rPr>
        <w:t>3</w:t>
      </w:r>
      <w:r w:rsidRPr="00CC5DB4">
        <w:rPr>
          <w:lang w:eastAsia="ja-JP" w:bidi="hi-IN"/>
        </w:rPr>
        <w:t>]</w:t>
      </w:r>
      <w:r>
        <w:rPr>
          <w:lang w:eastAsia="ja-JP" w:bidi="hi-IN"/>
        </w:rPr>
        <w:t xml:space="preserve">. For the analysis in this paper we used the antenna parameters agreed during the last meeting: </w:t>
      </w:r>
      <w:r w:rsidRPr="00014D23">
        <w:rPr>
          <w:lang w:eastAsia="ja-JP" w:bidi="hi-IN"/>
        </w:rPr>
        <w:t>[Mg, Ng, M, N, P]=[1, 1, 8, 8, 2]</w:t>
      </w:r>
      <w:r>
        <w:rPr>
          <w:lang w:eastAsia="ja-JP" w:bidi="hi-IN"/>
        </w:rPr>
        <w:t xml:space="preserve"> at RRH side and </w:t>
      </w:r>
      <w:r w:rsidRPr="00014D23">
        <w:rPr>
          <w:lang w:eastAsia="ja-JP" w:bidi="hi-IN"/>
        </w:rPr>
        <w:t xml:space="preserve">[Mg, Ng, M, N, P]=[1, 1, </w:t>
      </w:r>
      <w:r>
        <w:rPr>
          <w:lang w:eastAsia="ja-JP" w:bidi="hi-IN"/>
        </w:rPr>
        <w:t>4</w:t>
      </w:r>
      <w:r w:rsidRPr="00014D23">
        <w:rPr>
          <w:lang w:eastAsia="ja-JP" w:bidi="hi-IN"/>
        </w:rPr>
        <w:t xml:space="preserve">, </w:t>
      </w:r>
      <w:r>
        <w:rPr>
          <w:lang w:eastAsia="ja-JP" w:bidi="hi-IN"/>
        </w:rPr>
        <w:t>4</w:t>
      </w:r>
      <w:r w:rsidRPr="00014D23">
        <w:rPr>
          <w:lang w:eastAsia="ja-JP" w:bidi="hi-IN"/>
        </w:rPr>
        <w:t>, 2]</w:t>
      </w:r>
      <w:r>
        <w:rPr>
          <w:lang w:eastAsia="ja-JP" w:bidi="hi-IN"/>
        </w:rPr>
        <w:t xml:space="preserve"> at the UE side. </w:t>
      </w:r>
      <w:bookmarkEnd w:id="4"/>
      <w:r>
        <w:rPr>
          <w:lang w:eastAsia="ja-JP" w:bidi="hi-IN"/>
        </w:rPr>
        <w:t xml:space="preserve">For RRH antenna orientation we use the boresight </w:t>
      </w:r>
      <w:r w:rsidR="001C355C">
        <w:rPr>
          <w:lang w:eastAsia="ja-JP" w:bidi="hi-IN"/>
        </w:rPr>
        <w:t>angle -12deg</w:t>
      </w:r>
      <w:r>
        <w:rPr>
          <w:lang w:eastAsia="ja-JP" w:bidi="hi-IN"/>
        </w:rPr>
        <w:t xml:space="preserve"> (pointed to the projection of the </w:t>
      </w:r>
      <w:r w:rsidR="001C355C">
        <w:rPr>
          <w:lang w:eastAsia="ja-JP" w:bidi="hi-IN"/>
        </w:rPr>
        <w:t>next</w:t>
      </w:r>
      <w:r>
        <w:rPr>
          <w:lang w:eastAsia="ja-JP" w:bidi="hi-IN"/>
        </w:rPr>
        <w:t xml:space="preserve"> RRH to the railway)</w:t>
      </w:r>
      <w:r w:rsidR="001C355C">
        <w:rPr>
          <w:lang w:eastAsia="ja-JP" w:bidi="hi-IN"/>
        </w:rPr>
        <w:t>. The CPE antenna orientation is aligned with that value and its boresight angle is (180-12)deg (when the CPE is located at the projection of the RRH to the railway it looks to the previous RRH)</w:t>
      </w:r>
      <w:r w:rsidR="00A20DFD">
        <w:rPr>
          <w:lang w:eastAsia="ja-JP" w:bidi="hi-IN"/>
        </w:rPr>
        <w:t>. In Sections 2.1 and 2.3 single fixed boresight CPE beam is considered.</w:t>
      </w:r>
    </w:p>
    <w:p w14:paraId="0FD4108A" w14:textId="308BB6A9" w:rsidR="005B2C41" w:rsidRDefault="005B2C41" w:rsidP="005B2C41">
      <w:pPr>
        <w:pStyle w:val="Heading2"/>
      </w:pPr>
      <w:r w:rsidRPr="005B2C41">
        <w:t>RRH beam considerations</w:t>
      </w:r>
    </w:p>
    <w:p w14:paraId="0787DB60" w14:textId="77777777" w:rsidR="005B2C41" w:rsidRDefault="005B2C41" w:rsidP="00E25782">
      <w:pPr>
        <w:jc w:val="both"/>
        <w:rPr>
          <w:lang w:eastAsia="ja-JP" w:bidi="hi-IN"/>
        </w:rPr>
      </w:pPr>
      <w:r>
        <w:rPr>
          <w:lang w:eastAsia="ja-JP" w:bidi="hi-IN"/>
        </w:rPr>
        <w:t xml:space="preserve">The azimuth angle from RRH to UE smoothly changes in a wide range during the UE movement in Scenario-B, </w:t>
      </w:r>
      <w:r>
        <w:rPr>
          <w:lang w:val="en-US" w:eastAsia="ja-JP" w:bidi="hi-IN"/>
        </w:rPr>
        <w:t>unlike Scenario-A where this angle is almost static on the most part of the UE path.</w:t>
      </w:r>
      <w:r>
        <w:rPr>
          <w:lang w:eastAsia="ja-JP" w:bidi="hi-IN"/>
        </w:rPr>
        <w:t xml:space="preserve"> It is difficult to cover this wide angular range by a single narrow beam. Wider beams might be required. Proper beam design can give us wider beams but with sacrifice of gain. </w:t>
      </w:r>
    </w:p>
    <w:p w14:paraId="01F7B6AA" w14:textId="77777777" w:rsidR="005B2C41" w:rsidRDefault="005B2C41" w:rsidP="00E25782">
      <w:pPr>
        <w:jc w:val="both"/>
        <w:rPr>
          <w:lang w:eastAsia="ja-JP" w:bidi="hi-IN"/>
        </w:rPr>
      </w:pPr>
      <w:r>
        <w:rPr>
          <w:lang w:eastAsia="ja-JP" w:bidi="hi-IN"/>
        </w:rPr>
        <w:t xml:space="preserve">An example of wide beam is shown in Figure 1 in blue (8x8 antenna array is assumed). This beam was obtained by applying the following set of phases in the antenna array phase shifters in azimuthal plane: [-π/2, -π/2, π/2, π/2, π/2, π/2, π/2, π/2]. Let’s compare it with the narrow beam focused in the boresight direction by setting same phases for all antenna elements. This beam is shown by red line in Figure 1. In Figure 2 the SNR along the track is shown for both cases of wide beam (blue line) and narrow beam (red line). Dashed line in Figure 2 is related to the SNR required for 64QAM rank-2 DL transmission. We can see that with wider beam we increased coverage closer to RRH and have better SNR at some short distances comparing to narrow beam. But the farther UE is from the RRH the worse performance of the wide beam becomes comparing to the narrow beam. Wide beam cannot compensate the pathloss at the most distance. </w:t>
      </w:r>
    </w:p>
    <w:p w14:paraId="1727417F" w14:textId="4D3C416C" w:rsidR="005B2C41" w:rsidRPr="00165BF6" w:rsidRDefault="005B2C41" w:rsidP="00E25782">
      <w:pPr>
        <w:jc w:val="both"/>
        <w:rPr>
          <w:b/>
          <w:bCs/>
          <w:lang w:eastAsia="ja-JP" w:bidi="hi-IN"/>
        </w:rPr>
      </w:pPr>
      <w:r w:rsidRPr="00165BF6">
        <w:rPr>
          <w:b/>
          <w:bCs/>
          <w:lang w:eastAsia="ja-JP" w:bidi="hi-IN"/>
        </w:rPr>
        <w:t xml:space="preserve">Observation 1: For Scenario-B wide </w:t>
      </w:r>
      <w:r w:rsidR="00A20DFD">
        <w:rPr>
          <w:b/>
          <w:bCs/>
          <w:lang w:eastAsia="ja-JP" w:bidi="hi-IN"/>
        </w:rPr>
        <w:t xml:space="preserve">RRH </w:t>
      </w:r>
      <w:r w:rsidRPr="00165BF6">
        <w:rPr>
          <w:b/>
          <w:bCs/>
          <w:lang w:eastAsia="ja-JP" w:bidi="hi-IN"/>
        </w:rPr>
        <w:t>beam can increase the coverage near the RRH while narrow beam can compensate the pathloss far from RRH. Increasing the beamwidth in order to cover more area will lead to performance degradation on most of the distance</w:t>
      </w:r>
      <w:r>
        <w:rPr>
          <w:b/>
          <w:bCs/>
          <w:lang w:eastAsia="ja-JP" w:bidi="hi-IN"/>
        </w:rPr>
        <w:t>.</w:t>
      </w:r>
    </w:p>
    <w:tbl>
      <w:tblPr>
        <w:tblStyle w:val="TableGrid"/>
        <w:tblW w:w="0" w:type="auto"/>
        <w:tblLook w:val="04A0" w:firstRow="1" w:lastRow="0" w:firstColumn="1" w:lastColumn="0" w:noHBand="0" w:noVBand="1"/>
      </w:tblPr>
      <w:tblGrid>
        <w:gridCol w:w="9629"/>
      </w:tblGrid>
      <w:tr w:rsidR="005B2C41" w14:paraId="25DE51B6" w14:textId="77777777" w:rsidTr="00215391">
        <w:tc>
          <w:tcPr>
            <w:tcW w:w="9629" w:type="dxa"/>
          </w:tcPr>
          <w:p w14:paraId="58085F48" w14:textId="77777777" w:rsidR="005B2C41" w:rsidRDefault="005B2C41" w:rsidP="00215391">
            <w:pPr>
              <w:jc w:val="center"/>
              <w:rPr>
                <w:rFonts w:ascii="Times-Roman" w:hAnsi="Times-Roman" w:hint="eastAsia"/>
                <w:lang w:val="en-US"/>
              </w:rPr>
            </w:pPr>
            <w:r w:rsidRPr="00097F03">
              <w:rPr>
                <w:rFonts w:ascii="Times-Roman" w:hAnsi="Times-Roman" w:hint="eastAsia"/>
                <w:noProof/>
                <w:lang w:val="en-US"/>
              </w:rPr>
              <w:lastRenderedPageBreak/>
              <w:drawing>
                <wp:inline distT="0" distB="0" distL="0" distR="0" wp14:anchorId="0C7D0C9D" wp14:editId="345998E9">
                  <wp:extent cx="3668321" cy="26993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4276" cy="2711048"/>
                          </a:xfrm>
                          <a:prstGeom prst="rect">
                            <a:avLst/>
                          </a:prstGeom>
                          <a:noFill/>
                          <a:ln>
                            <a:noFill/>
                          </a:ln>
                        </pic:spPr>
                      </pic:pic>
                    </a:graphicData>
                  </a:graphic>
                </wp:inline>
              </w:drawing>
            </w:r>
          </w:p>
          <w:p w14:paraId="543C3C33" w14:textId="77777777" w:rsidR="005B2C41" w:rsidRDefault="005B2C41" w:rsidP="00215391">
            <w:pPr>
              <w:jc w:val="center"/>
              <w:rPr>
                <w:rFonts w:ascii="Times-Roman" w:hAnsi="Times-Roman" w:hint="eastAsia"/>
                <w:lang w:val="en-US"/>
              </w:rPr>
            </w:pPr>
            <w:r>
              <w:rPr>
                <w:rFonts w:ascii="Times-Roman" w:hAnsi="Times-Roman"/>
                <w:lang w:val="en-US"/>
              </w:rPr>
              <w:t>Figure 1. Wide (“custom”) beam vs. narrow (“phased”) beam radiation pattern</w:t>
            </w:r>
          </w:p>
        </w:tc>
      </w:tr>
    </w:tbl>
    <w:p w14:paraId="5CF17D25" w14:textId="77777777" w:rsidR="005B2C41" w:rsidRDefault="005B2C41" w:rsidP="005B2C41">
      <w:pPr>
        <w:rPr>
          <w:rFonts w:ascii="Times-Roman" w:hAnsi="Times-Roman" w:hint="eastAsia"/>
          <w:lang w:val="en-US"/>
        </w:rPr>
      </w:pPr>
    </w:p>
    <w:tbl>
      <w:tblPr>
        <w:tblStyle w:val="TableGrid"/>
        <w:tblW w:w="0" w:type="auto"/>
        <w:tblLook w:val="04A0" w:firstRow="1" w:lastRow="0" w:firstColumn="1" w:lastColumn="0" w:noHBand="0" w:noVBand="1"/>
      </w:tblPr>
      <w:tblGrid>
        <w:gridCol w:w="9629"/>
      </w:tblGrid>
      <w:tr w:rsidR="005B2C41" w14:paraId="4F0D499A" w14:textId="77777777" w:rsidTr="00215391">
        <w:tc>
          <w:tcPr>
            <w:tcW w:w="9629" w:type="dxa"/>
          </w:tcPr>
          <w:p w14:paraId="375ADFF7" w14:textId="77777777" w:rsidR="005B2C41" w:rsidRDefault="005B2C41" w:rsidP="00215391">
            <w:pPr>
              <w:jc w:val="center"/>
              <w:rPr>
                <w:rFonts w:ascii="Times-Roman" w:hAnsi="Times-Roman" w:hint="eastAsia"/>
                <w:lang w:val="en-US"/>
              </w:rPr>
            </w:pPr>
            <w:r w:rsidRPr="00AE7387">
              <w:rPr>
                <w:rFonts w:ascii="Times-Roman" w:hAnsi="Times-Roman"/>
                <w:noProof/>
                <w:lang w:val="en-US"/>
              </w:rPr>
              <w:drawing>
                <wp:inline distT="0" distB="0" distL="0" distR="0" wp14:anchorId="6C4BED1F" wp14:editId="37D4AD3B">
                  <wp:extent cx="5181600" cy="2044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8">
                            <a:extLst>
                              <a:ext uri="{28A0092B-C50C-407E-A947-70E740481C1C}">
                                <a14:useLocalDpi xmlns:a14="http://schemas.microsoft.com/office/drawing/2010/main" val="0"/>
                              </a:ext>
                            </a:extLst>
                          </a:blip>
                          <a:srcRect l="8411" r="6853"/>
                          <a:stretch/>
                        </pic:blipFill>
                        <pic:spPr bwMode="auto">
                          <a:xfrm>
                            <a:off x="0" y="0"/>
                            <a:ext cx="5181600" cy="2044700"/>
                          </a:xfrm>
                          <a:prstGeom prst="rect">
                            <a:avLst/>
                          </a:prstGeom>
                          <a:noFill/>
                          <a:ln>
                            <a:noFill/>
                          </a:ln>
                          <a:extLst>
                            <a:ext uri="{53640926-AAD7-44D8-BBD7-CCE9431645EC}">
                              <a14:shadowObscured xmlns:a14="http://schemas.microsoft.com/office/drawing/2010/main"/>
                            </a:ext>
                          </a:extLst>
                        </pic:spPr>
                      </pic:pic>
                    </a:graphicData>
                  </a:graphic>
                </wp:inline>
              </w:drawing>
            </w:r>
          </w:p>
          <w:p w14:paraId="344ED34F" w14:textId="77777777" w:rsidR="005B2C41" w:rsidRDefault="005B2C41" w:rsidP="00215391">
            <w:pPr>
              <w:jc w:val="center"/>
              <w:rPr>
                <w:rFonts w:ascii="Times-Roman" w:hAnsi="Times-Roman" w:hint="eastAsia"/>
                <w:lang w:val="en-US"/>
              </w:rPr>
            </w:pPr>
            <w:r>
              <w:rPr>
                <w:rFonts w:ascii="Times-Roman" w:hAnsi="Times-Roman"/>
                <w:lang w:val="en-US"/>
              </w:rPr>
              <w:t>Figure 2. Wide (“custom”) beam vs. narrow (“phased”) SNR along the track</w:t>
            </w:r>
          </w:p>
        </w:tc>
      </w:tr>
    </w:tbl>
    <w:p w14:paraId="4BCD72DC" w14:textId="77777777" w:rsidR="005B2C41" w:rsidRDefault="005B2C41" w:rsidP="005B2C41">
      <w:pPr>
        <w:rPr>
          <w:rFonts w:ascii="Times-Roman" w:hAnsi="Times-Roman" w:hint="eastAsia"/>
          <w:lang w:val="en-US"/>
        </w:rPr>
      </w:pPr>
    </w:p>
    <w:p w14:paraId="23BC3A90" w14:textId="3EE8E9B1" w:rsidR="005B2C41" w:rsidRPr="00572C2C" w:rsidRDefault="005B2C41" w:rsidP="00E25782">
      <w:pPr>
        <w:jc w:val="both"/>
        <w:rPr>
          <w:rFonts w:ascii="Times-Roman" w:hAnsi="Times-Roman" w:hint="eastAsia"/>
          <w:lang w:val="en-US"/>
        </w:rPr>
      </w:pPr>
      <w:r w:rsidRPr="00572C2C">
        <w:rPr>
          <w:rFonts w:ascii="Times-Roman" w:hAnsi="Times-Roman"/>
          <w:lang w:val="en-US"/>
        </w:rPr>
        <w:t xml:space="preserve">As at is shown in </w:t>
      </w:r>
      <w:r>
        <w:rPr>
          <w:rFonts w:ascii="Times-Roman" w:hAnsi="Times-Roman"/>
          <w:lang w:val="en-US"/>
        </w:rPr>
        <w:t>Figure 2, in the case of single narrow beam there is an area between RRHs where the SNR from the previous RRH is already decreased due to pathloss and SNR from the closest RRH is still small due to limited coverage of the narrow beam. The second beam might be required to cover that area. Figure 3 shows the radiation patterns for two beams to be used. These beams have peaks in boresight direction (-12deg</w:t>
      </w:r>
      <w:r w:rsidR="001C355C">
        <w:rPr>
          <w:rFonts w:ascii="Times-Roman" w:hAnsi="Times-Roman"/>
          <w:lang w:val="en-US"/>
        </w:rPr>
        <w:t xml:space="preserve"> in the figure</w:t>
      </w:r>
      <w:r>
        <w:rPr>
          <w:rFonts w:ascii="Times-Roman" w:hAnsi="Times-Roman"/>
          <w:lang w:val="en-US"/>
        </w:rPr>
        <w:t>) and 14</w:t>
      </w:r>
      <w:r>
        <w:rPr>
          <w:lang w:val="en-US"/>
        </w:rPr>
        <w:t xml:space="preserve"> deg relative to boresight direction</w:t>
      </w:r>
      <w:r>
        <w:rPr>
          <w:rFonts w:ascii="Times-Roman" w:hAnsi="Times-Roman"/>
          <w:lang w:val="en-US"/>
        </w:rPr>
        <w:t xml:space="preserve">. </w:t>
      </w:r>
    </w:p>
    <w:tbl>
      <w:tblPr>
        <w:tblStyle w:val="TableGrid"/>
        <w:tblW w:w="0" w:type="auto"/>
        <w:tblLook w:val="04A0" w:firstRow="1" w:lastRow="0" w:firstColumn="1" w:lastColumn="0" w:noHBand="0" w:noVBand="1"/>
      </w:tblPr>
      <w:tblGrid>
        <w:gridCol w:w="9629"/>
      </w:tblGrid>
      <w:tr w:rsidR="005B2C41" w14:paraId="487EBB2A" w14:textId="77777777" w:rsidTr="00215391">
        <w:tc>
          <w:tcPr>
            <w:tcW w:w="9629" w:type="dxa"/>
          </w:tcPr>
          <w:p w14:paraId="071F7B96" w14:textId="1FE7FD34" w:rsidR="005B2C41" w:rsidRDefault="005B2C41" w:rsidP="00465153">
            <w:pPr>
              <w:spacing w:before="0" w:after="0"/>
              <w:jc w:val="center"/>
              <w:rPr>
                <w:rFonts w:ascii="Times-Roman" w:hAnsi="Times-Roman" w:hint="eastAsia"/>
                <w:noProof/>
                <w:lang w:val="en-US"/>
              </w:rPr>
            </w:pPr>
            <w:r w:rsidRPr="00ED248A">
              <w:rPr>
                <w:rFonts w:ascii="Times-Roman" w:hAnsi="Times-Roman"/>
                <w:noProof/>
                <w:lang w:val="en-US"/>
              </w:rPr>
              <w:lastRenderedPageBreak/>
              <w:drawing>
                <wp:inline distT="0" distB="0" distL="0" distR="0" wp14:anchorId="75068AB8" wp14:editId="4CA9C513">
                  <wp:extent cx="3716626" cy="264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b="4456"/>
                          <a:stretch/>
                        </pic:blipFill>
                        <pic:spPr bwMode="auto">
                          <a:xfrm>
                            <a:off x="0" y="0"/>
                            <a:ext cx="3726017" cy="2648275"/>
                          </a:xfrm>
                          <a:prstGeom prst="rect">
                            <a:avLst/>
                          </a:prstGeom>
                          <a:noFill/>
                          <a:ln>
                            <a:noFill/>
                          </a:ln>
                          <a:extLst>
                            <a:ext uri="{53640926-AAD7-44D8-BBD7-CCE9431645EC}">
                              <a14:shadowObscured xmlns:a14="http://schemas.microsoft.com/office/drawing/2010/main"/>
                            </a:ext>
                          </a:extLst>
                        </pic:spPr>
                      </pic:pic>
                    </a:graphicData>
                  </a:graphic>
                </wp:inline>
              </w:drawing>
            </w:r>
            <w:r w:rsidR="00BF406F">
              <w:rPr>
                <w:rFonts w:ascii="Times-Roman" w:hAnsi="Times-Roman"/>
                <w:noProof/>
                <w:lang w:val="en-US"/>
              </w:rPr>
              <w:t xml:space="preserve"> </w:t>
            </w:r>
          </w:p>
          <w:p w14:paraId="6E273950" w14:textId="77777777" w:rsidR="00BF406F" w:rsidRDefault="005B2C41" w:rsidP="00465153">
            <w:pPr>
              <w:spacing w:before="0" w:after="0"/>
              <w:jc w:val="center"/>
              <w:rPr>
                <w:rFonts w:ascii="Times-Roman" w:hAnsi="Times-Roman" w:hint="eastAsia"/>
                <w:noProof/>
                <w:lang w:val="en-US"/>
              </w:rPr>
            </w:pPr>
            <w:r>
              <w:rPr>
                <w:rFonts w:ascii="Times-Roman" w:hAnsi="Times-Roman"/>
                <w:noProof/>
                <w:lang w:val="en-US"/>
              </w:rPr>
              <w:t xml:space="preserve">Figure 3. Radiation patterns of two RRH beams to be used in Scenario-B </w:t>
            </w:r>
          </w:p>
          <w:p w14:paraId="5DD4D1BA" w14:textId="1997C32C" w:rsidR="005B2C41" w:rsidRDefault="005B2C41" w:rsidP="00465153">
            <w:pPr>
              <w:spacing w:before="0" w:after="0"/>
              <w:jc w:val="center"/>
              <w:rPr>
                <w:rFonts w:ascii="Times-Roman" w:hAnsi="Times-Roman" w:hint="eastAsia"/>
                <w:lang w:val="en-US"/>
              </w:rPr>
            </w:pPr>
            <w:r>
              <w:rPr>
                <w:rFonts w:ascii="Times-Roman" w:hAnsi="Times-Roman"/>
                <w:noProof/>
                <w:lang w:val="en-US"/>
              </w:rPr>
              <w:t>(the antenna orientation shift of 12deg is considered)</w:t>
            </w:r>
          </w:p>
        </w:tc>
      </w:tr>
    </w:tbl>
    <w:p w14:paraId="40DF17FE" w14:textId="77777777" w:rsidR="005B2C41" w:rsidRDefault="005B2C41" w:rsidP="005B2C41">
      <w:pPr>
        <w:rPr>
          <w:rFonts w:ascii="Times-Roman" w:hAnsi="Times-Roman" w:hint="eastAsia"/>
          <w:lang w:val="en-US"/>
        </w:rPr>
      </w:pPr>
    </w:p>
    <w:p w14:paraId="49A84E07" w14:textId="291AE47E" w:rsidR="005B2C41" w:rsidRPr="00176867" w:rsidRDefault="005B2C41" w:rsidP="00E25782">
      <w:pPr>
        <w:jc w:val="both"/>
        <w:rPr>
          <w:lang w:val="en-US" w:eastAsia="ja-JP" w:bidi="hi-IN"/>
        </w:rPr>
      </w:pPr>
      <w:r>
        <w:rPr>
          <w:rFonts w:ascii="Times-Roman" w:hAnsi="Times-Roman"/>
          <w:lang w:val="en-US"/>
        </w:rPr>
        <w:t xml:space="preserve">Figure 4 shows the </w:t>
      </w:r>
      <w:r>
        <w:rPr>
          <w:lang w:eastAsia="ja-JP" w:bidi="hi-IN"/>
        </w:rPr>
        <w:t xml:space="preserve">SNR along the track for two cases: only boresight beam is used (blue curve), both beams from Figure 3 are used (red curve). As we can see, the second beam fills the gap and provides much better SNR in the </w:t>
      </w:r>
      <w:r w:rsidR="00385BF8">
        <w:rPr>
          <w:lang w:eastAsia="ja-JP" w:bidi="hi-IN"/>
        </w:rPr>
        <w:t xml:space="preserve">area </w:t>
      </w:r>
      <w:r>
        <w:rPr>
          <w:rFonts w:ascii="Times-Roman" w:hAnsi="Times-Roman"/>
          <w:lang w:val="en-US"/>
        </w:rPr>
        <w:t>where the SNR from boresight beam of the previous RRH is already decreased due to pathloss and SNR from the boresight beam of the closest RRH is still small due to its limited coverage.</w:t>
      </w:r>
      <w:r w:rsidR="00176867">
        <w:rPr>
          <w:rFonts w:ascii="Times-Roman" w:hAnsi="Times-Roman"/>
          <w:lang w:val="en-US"/>
        </w:rPr>
        <w:t xml:space="preserve"> </w:t>
      </w:r>
      <w:r w:rsidR="00F81F92">
        <w:rPr>
          <w:rFonts w:ascii="Times-Roman" w:hAnsi="Times-Roman"/>
          <w:lang w:val="en-US"/>
        </w:rPr>
        <w:t xml:space="preserve">The CPE will switch to new RRH earlier than in case of single RRH beam – Ds_offset = 232m vs. Ds_offset = </w:t>
      </w:r>
      <w:r w:rsidR="00ED5851">
        <w:rPr>
          <w:rFonts w:ascii="Times-Roman" w:hAnsi="Times-Roman"/>
          <w:lang w:val="en-US"/>
        </w:rPr>
        <w:t>362</w:t>
      </w:r>
      <w:r w:rsidR="00F81F92">
        <w:rPr>
          <w:rFonts w:ascii="Times-Roman" w:hAnsi="Times-Roman"/>
          <w:lang w:val="en-US"/>
        </w:rPr>
        <w:t>m</w:t>
      </w:r>
      <w:r w:rsidR="00ED5851">
        <w:rPr>
          <w:rFonts w:ascii="Times-Roman" w:hAnsi="Times-Roman"/>
          <w:lang w:val="en-US"/>
        </w:rPr>
        <w:t xml:space="preserve">. </w:t>
      </w:r>
      <w:r w:rsidR="00176867">
        <w:rPr>
          <w:rFonts w:ascii="Times-Roman" w:hAnsi="Times-Roman"/>
          <w:lang w:val="en-US"/>
        </w:rPr>
        <w:t xml:space="preserve">The corresponding beam dwelling time for two beams in this case is </w:t>
      </w:r>
      <w:r w:rsidR="00176867" w:rsidRPr="00176867">
        <w:rPr>
          <w:rFonts w:ascii="Times-Roman" w:hAnsi="Times-Roman"/>
          <w:lang w:val="en-US"/>
        </w:rPr>
        <w:t>5.17s for the boresight beam and 2.03</w:t>
      </w:r>
      <w:r w:rsidR="00A20DFD">
        <w:rPr>
          <w:rFonts w:ascii="Times-Roman" w:hAnsi="Times-Roman"/>
          <w:lang w:val="en-US"/>
        </w:rPr>
        <w:t>s</w:t>
      </w:r>
      <w:r w:rsidR="00176867" w:rsidRPr="00176867">
        <w:rPr>
          <w:rFonts w:ascii="Times-Roman" w:hAnsi="Times-Roman"/>
          <w:lang w:val="en-US"/>
        </w:rPr>
        <w:t xml:space="preserve"> for the second beam.</w:t>
      </w:r>
    </w:p>
    <w:p w14:paraId="58C64BD1" w14:textId="77777777" w:rsidR="005B2C41" w:rsidRDefault="005B2C41" w:rsidP="005B2C41">
      <w:pPr>
        <w:rPr>
          <w:rFonts w:ascii="Times-Roman" w:hAnsi="Times-Roman" w:hint="eastAsia"/>
          <w:lang w:val="en-US"/>
        </w:rPr>
      </w:pPr>
    </w:p>
    <w:tbl>
      <w:tblPr>
        <w:tblStyle w:val="TableGrid"/>
        <w:tblW w:w="0" w:type="auto"/>
        <w:tblLook w:val="04A0" w:firstRow="1" w:lastRow="0" w:firstColumn="1" w:lastColumn="0" w:noHBand="0" w:noVBand="1"/>
      </w:tblPr>
      <w:tblGrid>
        <w:gridCol w:w="9629"/>
      </w:tblGrid>
      <w:tr w:rsidR="005B2C41" w14:paraId="17D5854C" w14:textId="77777777" w:rsidTr="00215391">
        <w:tc>
          <w:tcPr>
            <w:tcW w:w="9629" w:type="dxa"/>
          </w:tcPr>
          <w:p w14:paraId="21340D39" w14:textId="77777777" w:rsidR="005B2C41" w:rsidRDefault="005B2C41" w:rsidP="00176867">
            <w:pPr>
              <w:jc w:val="center"/>
              <w:rPr>
                <w:rFonts w:ascii="Times-Roman" w:hAnsi="Times-Roman" w:hint="eastAsia"/>
                <w:lang w:val="en-US"/>
              </w:rPr>
            </w:pPr>
            <w:r w:rsidRPr="00AE7387">
              <w:rPr>
                <w:rFonts w:ascii="Times-Roman" w:hAnsi="Times-Roman"/>
                <w:noProof/>
                <w:lang w:val="en-US"/>
              </w:rPr>
              <w:drawing>
                <wp:inline distT="0" distB="0" distL="0" distR="0" wp14:anchorId="29ED472E" wp14:editId="0ED08030">
                  <wp:extent cx="5223052" cy="20407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a:extLst>
                              <a:ext uri="{28A0092B-C50C-407E-A947-70E740481C1C}">
                                <a14:useLocalDpi xmlns:a14="http://schemas.microsoft.com/office/drawing/2010/main" val="0"/>
                              </a:ext>
                            </a:extLst>
                          </a:blip>
                          <a:srcRect l="9330" r="5261"/>
                          <a:stretch/>
                        </pic:blipFill>
                        <pic:spPr bwMode="auto">
                          <a:xfrm>
                            <a:off x="0" y="0"/>
                            <a:ext cx="5223316" cy="2040890"/>
                          </a:xfrm>
                          <a:prstGeom prst="rect">
                            <a:avLst/>
                          </a:prstGeom>
                          <a:noFill/>
                          <a:ln>
                            <a:noFill/>
                          </a:ln>
                          <a:extLst>
                            <a:ext uri="{53640926-AAD7-44D8-BBD7-CCE9431645EC}">
                              <a14:shadowObscured xmlns:a14="http://schemas.microsoft.com/office/drawing/2010/main"/>
                            </a:ext>
                          </a:extLst>
                        </pic:spPr>
                      </pic:pic>
                    </a:graphicData>
                  </a:graphic>
                </wp:inline>
              </w:drawing>
            </w:r>
          </w:p>
          <w:p w14:paraId="4A5772A2" w14:textId="19B0920B" w:rsidR="00176867" w:rsidRDefault="00176867" w:rsidP="00176867">
            <w:pPr>
              <w:jc w:val="center"/>
              <w:rPr>
                <w:rFonts w:ascii="Times-Roman" w:hAnsi="Times-Roman" w:hint="eastAsia"/>
                <w:lang w:val="en-US"/>
              </w:rPr>
            </w:pPr>
            <w:r>
              <w:rPr>
                <w:rFonts w:ascii="Times-Roman" w:hAnsi="Times-Roman"/>
                <w:lang w:val="en-US"/>
              </w:rPr>
              <w:t>Figure 4. DL SNR along the track for the cases when one (blue curve) and two (red curve) beams are used at RRH.</w:t>
            </w:r>
          </w:p>
        </w:tc>
      </w:tr>
    </w:tbl>
    <w:p w14:paraId="75678348" w14:textId="77777777" w:rsidR="005B2C41" w:rsidRDefault="005B2C41" w:rsidP="005B2C41">
      <w:pPr>
        <w:rPr>
          <w:rFonts w:ascii="Times-Roman" w:hAnsi="Times-Roman" w:hint="eastAsia"/>
          <w:lang w:val="en-US"/>
        </w:rPr>
      </w:pPr>
    </w:p>
    <w:p w14:paraId="1F2456B9" w14:textId="59982E92" w:rsidR="005B2C41" w:rsidRPr="005B2C41" w:rsidRDefault="005B2C41" w:rsidP="005B2C41">
      <w:pPr>
        <w:rPr>
          <w:rFonts w:ascii="Times-Roman" w:hAnsi="Times-Roman" w:hint="eastAsia"/>
          <w:b/>
          <w:bCs/>
          <w:lang w:val="en-US"/>
        </w:rPr>
      </w:pPr>
      <w:r w:rsidRPr="005B2C41">
        <w:rPr>
          <w:rFonts w:ascii="Times-Roman" w:hAnsi="Times-Roman"/>
          <w:b/>
          <w:bCs/>
          <w:lang w:val="en-US"/>
        </w:rPr>
        <w:t xml:space="preserve">Proposal 1: </w:t>
      </w:r>
      <w:r w:rsidR="00385BF8">
        <w:rPr>
          <w:rFonts w:ascii="Times-Roman" w:hAnsi="Times-Roman"/>
          <w:b/>
          <w:bCs/>
          <w:lang w:val="en-US"/>
        </w:rPr>
        <w:t>For</w:t>
      </w:r>
      <w:r w:rsidR="00332C4D">
        <w:rPr>
          <w:rFonts w:ascii="Times-Roman" w:hAnsi="Times-Roman"/>
          <w:b/>
          <w:bCs/>
          <w:lang w:val="en-US"/>
        </w:rPr>
        <w:t xml:space="preserve"> uni-directional</w:t>
      </w:r>
      <w:r w:rsidR="00385BF8">
        <w:rPr>
          <w:rFonts w:ascii="Times-Roman" w:hAnsi="Times-Roman"/>
          <w:b/>
          <w:bCs/>
          <w:lang w:val="en-US"/>
        </w:rPr>
        <w:t xml:space="preserve"> Scenario-B deployment RAN4 to </w:t>
      </w:r>
      <w:r w:rsidRPr="005B2C41">
        <w:rPr>
          <w:rFonts w:ascii="Times-Roman" w:hAnsi="Times-Roman"/>
          <w:b/>
          <w:bCs/>
          <w:lang w:val="en-US"/>
        </w:rPr>
        <w:t xml:space="preserve">consider 2 </w:t>
      </w:r>
      <w:r w:rsidR="00385BF8">
        <w:rPr>
          <w:rFonts w:ascii="Times-Roman" w:hAnsi="Times-Roman"/>
          <w:b/>
          <w:bCs/>
          <w:lang w:val="en-US"/>
        </w:rPr>
        <w:t>beams per RRH</w:t>
      </w:r>
      <w:r w:rsidRPr="005B2C41">
        <w:rPr>
          <w:rFonts w:ascii="Times-Roman" w:hAnsi="Times-Roman"/>
          <w:b/>
          <w:bCs/>
          <w:lang w:val="en-US"/>
        </w:rPr>
        <w:t xml:space="preserve"> </w:t>
      </w:r>
      <w:r w:rsidR="00385BF8">
        <w:rPr>
          <w:rFonts w:ascii="Times-Roman" w:hAnsi="Times-Roman"/>
          <w:b/>
          <w:bCs/>
          <w:lang w:val="en-US"/>
        </w:rPr>
        <w:t>panel</w:t>
      </w:r>
    </w:p>
    <w:p w14:paraId="501FAA88" w14:textId="70C2512F" w:rsidR="005B2C41" w:rsidRDefault="005B2C41" w:rsidP="005B2C41">
      <w:pPr>
        <w:rPr>
          <w:rFonts w:ascii="Times-Roman" w:hAnsi="Times-Roman" w:hint="eastAsia"/>
          <w:b/>
          <w:bCs/>
          <w:lang w:val="en-US"/>
        </w:rPr>
      </w:pPr>
      <w:r w:rsidRPr="00385BF8">
        <w:rPr>
          <w:rFonts w:ascii="Times-Roman" w:hAnsi="Times-Roman"/>
          <w:b/>
          <w:bCs/>
          <w:lang w:val="en-US"/>
        </w:rPr>
        <w:t xml:space="preserve">Proposal 2: </w:t>
      </w:r>
      <w:r w:rsidR="00332C4D">
        <w:rPr>
          <w:b/>
        </w:rPr>
        <w:t xml:space="preserve">For uni-directional Scenario-B deployment </w:t>
      </w:r>
      <w:r w:rsidR="00385BF8">
        <w:rPr>
          <w:rFonts w:ascii="Times-Roman" w:hAnsi="Times-Roman"/>
          <w:b/>
          <w:bCs/>
          <w:lang w:val="en-US"/>
        </w:rPr>
        <w:t>RAN4 to consider b</w:t>
      </w:r>
      <w:r w:rsidRPr="00385BF8">
        <w:rPr>
          <w:rFonts w:ascii="Times-Roman" w:hAnsi="Times-Roman"/>
          <w:b/>
          <w:bCs/>
          <w:lang w:val="en-US"/>
        </w:rPr>
        <w:t xml:space="preserve">eam dwelling time </w:t>
      </w:r>
      <w:r w:rsidR="00385BF8">
        <w:rPr>
          <w:rFonts w:ascii="Times-Roman" w:hAnsi="Times-Roman"/>
          <w:b/>
          <w:bCs/>
          <w:lang w:val="en-US"/>
        </w:rPr>
        <w:t xml:space="preserve">equal to 5.17s </w:t>
      </w:r>
      <w:r w:rsidR="00385BF8" w:rsidRPr="00385BF8">
        <w:rPr>
          <w:rFonts w:ascii="Times-Roman" w:hAnsi="Times-Roman"/>
          <w:b/>
          <w:bCs/>
          <w:lang w:val="en-US"/>
        </w:rPr>
        <w:t xml:space="preserve">for the boresight beam and </w:t>
      </w:r>
      <w:bookmarkStart w:id="5" w:name="_Hlk71656983"/>
      <w:r w:rsidR="00385BF8">
        <w:rPr>
          <w:rFonts w:ascii="Times-Roman" w:hAnsi="Times-Roman"/>
          <w:b/>
          <w:bCs/>
          <w:lang w:val="en-US"/>
        </w:rPr>
        <w:t>2.03</w:t>
      </w:r>
      <w:r w:rsidR="00A20DFD">
        <w:rPr>
          <w:rFonts w:ascii="Times-Roman" w:hAnsi="Times-Roman"/>
          <w:b/>
          <w:bCs/>
          <w:lang w:val="en-US"/>
        </w:rPr>
        <w:t>s</w:t>
      </w:r>
      <w:r w:rsidR="00385BF8">
        <w:rPr>
          <w:rFonts w:ascii="Times-Roman" w:hAnsi="Times-Roman"/>
          <w:b/>
          <w:bCs/>
          <w:lang w:val="en-US"/>
        </w:rPr>
        <w:t xml:space="preserve"> </w:t>
      </w:r>
      <w:bookmarkEnd w:id="5"/>
      <w:r w:rsidR="00385BF8" w:rsidRPr="00385BF8">
        <w:rPr>
          <w:rFonts w:ascii="Times-Roman" w:hAnsi="Times-Roman"/>
          <w:b/>
          <w:bCs/>
          <w:lang w:val="en-US"/>
        </w:rPr>
        <w:t>for the second beam.</w:t>
      </w:r>
    </w:p>
    <w:p w14:paraId="2BC3483C" w14:textId="07BC7BD6" w:rsidR="00F81F92" w:rsidRPr="00385BF8" w:rsidRDefault="00F81F92" w:rsidP="005B2C41">
      <w:pPr>
        <w:rPr>
          <w:rFonts w:ascii="Times-Roman" w:hAnsi="Times-Roman" w:hint="eastAsia"/>
          <w:b/>
          <w:bCs/>
          <w:lang w:val="en-US"/>
        </w:rPr>
      </w:pPr>
      <w:r>
        <w:rPr>
          <w:rFonts w:ascii="Times-Roman" w:hAnsi="Times-Roman"/>
          <w:b/>
          <w:bCs/>
          <w:lang w:val="en-US"/>
        </w:rPr>
        <w:t xml:space="preserve">Proposal 3: </w:t>
      </w:r>
      <w:r>
        <w:rPr>
          <w:b/>
        </w:rPr>
        <w:t xml:space="preserve">For uni-directional Scenario-B deployment </w:t>
      </w:r>
      <w:r w:rsidRPr="00C9384D">
        <w:rPr>
          <w:b/>
          <w:lang w:val="en-US"/>
        </w:rPr>
        <w:t>RAN4</w:t>
      </w:r>
      <w:r>
        <w:rPr>
          <w:b/>
          <w:lang w:val="en-US"/>
        </w:rPr>
        <w:t xml:space="preserve"> to consider switching point between RRHs at Ds_offset = 232m</w:t>
      </w:r>
      <w:r w:rsidR="00ED5851">
        <w:rPr>
          <w:b/>
          <w:lang w:val="en-US"/>
        </w:rPr>
        <w:t>.</w:t>
      </w:r>
    </w:p>
    <w:p w14:paraId="5CBB53BE" w14:textId="7ED15861" w:rsidR="005B2C41" w:rsidRDefault="005B2C41" w:rsidP="005B2C41">
      <w:pPr>
        <w:pStyle w:val="Heading2"/>
      </w:pPr>
      <w:r>
        <w:t>CPE</w:t>
      </w:r>
      <w:r w:rsidRPr="005B2C41">
        <w:t xml:space="preserve"> beam considerations</w:t>
      </w:r>
    </w:p>
    <w:p w14:paraId="69DE0D81" w14:textId="15989C86" w:rsidR="005B2C41" w:rsidRDefault="006B78C6" w:rsidP="00E25782">
      <w:pPr>
        <w:jc w:val="both"/>
        <w:rPr>
          <w:rFonts w:ascii="Times-Roman" w:hAnsi="Times-Roman" w:hint="eastAsia"/>
          <w:lang w:val="en-US"/>
        </w:rPr>
      </w:pPr>
      <w:r>
        <w:rPr>
          <w:rFonts w:ascii="Times-Roman" w:hAnsi="Times-Roman"/>
          <w:lang w:val="en-US"/>
        </w:rPr>
        <w:t xml:space="preserve">All the </w:t>
      </w:r>
      <w:r w:rsidR="00BF406F">
        <w:rPr>
          <w:rFonts w:ascii="Times-Roman" w:hAnsi="Times-Roman"/>
          <w:lang w:val="en-US"/>
        </w:rPr>
        <w:t xml:space="preserve">SNR analysis in Section 2.1 assumed single fixed CPE beam. In current section we compare </w:t>
      </w:r>
      <w:r w:rsidR="00944D09">
        <w:rPr>
          <w:rFonts w:ascii="Times-Roman" w:hAnsi="Times-Roman"/>
          <w:lang w:val="en-US"/>
        </w:rPr>
        <w:t>that assumption with the case when multiple beams at the CPE side are available</w:t>
      </w:r>
      <w:r w:rsidR="002C374D">
        <w:rPr>
          <w:rFonts w:ascii="Times-Roman" w:hAnsi="Times-Roman"/>
          <w:lang w:val="en-US"/>
        </w:rPr>
        <w:t xml:space="preserve"> and the best of them is used</w:t>
      </w:r>
      <w:r w:rsidR="00944D09">
        <w:rPr>
          <w:rFonts w:ascii="Times-Roman" w:hAnsi="Times-Roman"/>
          <w:lang w:val="en-US"/>
        </w:rPr>
        <w:t xml:space="preserve">. </w:t>
      </w:r>
    </w:p>
    <w:p w14:paraId="28AC69E0" w14:textId="6DABD5E7" w:rsidR="007B3735" w:rsidRPr="007B3735" w:rsidRDefault="002C374D" w:rsidP="00E25782">
      <w:pPr>
        <w:jc w:val="both"/>
        <w:rPr>
          <w:rFonts w:ascii="Times-Roman" w:hAnsi="Times-Roman" w:hint="eastAsia"/>
          <w:lang w:val="en-US"/>
        </w:rPr>
      </w:pPr>
      <w:r>
        <w:rPr>
          <w:rFonts w:ascii="Times-Roman" w:hAnsi="Times-Roman"/>
          <w:lang w:val="en-US"/>
        </w:rPr>
        <w:t>The radiation patterns of 8 CPE beams is shown i</w:t>
      </w:r>
      <w:r w:rsidR="00944D09">
        <w:rPr>
          <w:rFonts w:ascii="Times-Roman" w:hAnsi="Times-Roman"/>
          <w:lang w:val="en-US"/>
        </w:rPr>
        <w:t>n Figure 5</w:t>
      </w:r>
      <w:r>
        <w:rPr>
          <w:rFonts w:ascii="Times-Roman" w:hAnsi="Times-Roman"/>
          <w:lang w:val="en-US"/>
        </w:rPr>
        <w:t>.</w:t>
      </w:r>
      <w:r w:rsidR="00944D09">
        <w:rPr>
          <w:rFonts w:ascii="Times-Roman" w:hAnsi="Times-Roman"/>
          <w:lang w:val="en-US"/>
        </w:rPr>
        <w:t xml:space="preserve"> </w:t>
      </w:r>
      <w:r>
        <w:rPr>
          <w:rFonts w:ascii="Times-Roman" w:hAnsi="Times-Roman"/>
          <w:lang w:val="en-US"/>
        </w:rPr>
        <w:t xml:space="preserve">Here the beam drawn with blue bold line in the center corresponds to the broadside beam which was considered in previous section. </w:t>
      </w:r>
    </w:p>
    <w:p w14:paraId="75A3D4C9" w14:textId="77777777" w:rsidR="00BF406F" w:rsidRDefault="00BF406F" w:rsidP="005B2C41">
      <w:pPr>
        <w:rPr>
          <w:rFonts w:ascii="Times-Roman" w:hAnsi="Times-Roman" w:hint="eastAsia"/>
          <w:lang w:val="en-US"/>
        </w:rPr>
      </w:pPr>
    </w:p>
    <w:tbl>
      <w:tblPr>
        <w:tblStyle w:val="TableGrid"/>
        <w:tblW w:w="0" w:type="auto"/>
        <w:tblLook w:val="04A0" w:firstRow="1" w:lastRow="0" w:firstColumn="1" w:lastColumn="0" w:noHBand="0" w:noVBand="1"/>
      </w:tblPr>
      <w:tblGrid>
        <w:gridCol w:w="9629"/>
      </w:tblGrid>
      <w:tr w:rsidR="00BF406F" w14:paraId="2EB8BD52" w14:textId="77777777" w:rsidTr="00BF406F">
        <w:tc>
          <w:tcPr>
            <w:tcW w:w="9629" w:type="dxa"/>
          </w:tcPr>
          <w:p w14:paraId="462F4A48" w14:textId="77777777" w:rsidR="00BF406F" w:rsidRDefault="00BF406F" w:rsidP="00465153">
            <w:pPr>
              <w:spacing w:after="0"/>
              <w:jc w:val="center"/>
              <w:rPr>
                <w:rFonts w:ascii="Times-Roman" w:hAnsi="Times-Roman" w:hint="eastAsia"/>
                <w:lang w:val="en-US"/>
              </w:rPr>
            </w:pPr>
            <w:r w:rsidRPr="00BF406F">
              <w:rPr>
                <w:rFonts w:ascii="Times-Roman" w:hAnsi="Times-Roman"/>
                <w:noProof/>
                <w:lang w:val="en-US"/>
              </w:rPr>
              <w:drawing>
                <wp:inline distT="0" distB="0" distL="0" distR="0" wp14:anchorId="61C40EDA" wp14:editId="62FF5D57">
                  <wp:extent cx="3912235" cy="27368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1">
                            <a:extLst>
                              <a:ext uri="{28A0092B-C50C-407E-A947-70E740481C1C}">
                                <a14:useLocalDpi xmlns:a14="http://schemas.microsoft.com/office/drawing/2010/main" val="0"/>
                              </a:ext>
                            </a:extLst>
                          </a:blip>
                          <a:srcRect t="-1" b="5205"/>
                          <a:stretch/>
                        </pic:blipFill>
                        <pic:spPr bwMode="auto">
                          <a:xfrm>
                            <a:off x="0" y="0"/>
                            <a:ext cx="3939573" cy="2755975"/>
                          </a:xfrm>
                          <a:prstGeom prst="rect">
                            <a:avLst/>
                          </a:prstGeom>
                          <a:noFill/>
                          <a:ln>
                            <a:noFill/>
                          </a:ln>
                          <a:extLst>
                            <a:ext uri="{53640926-AAD7-44D8-BBD7-CCE9431645EC}">
                              <a14:shadowObscured xmlns:a14="http://schemas.microsoft.com/office/drawing/2010/main"/>
                            </a:ext>
                          </a:extLst>
                        </pic:spPr>
                      </pic:pic>
                    </a:graphicData>
                  </a:graphic>
                </wp:inline>
              </w:drawing>
            </w:r>
          </w:p>
          <w:p w14:paraId="11236FAC" w14:textId="330673DD" w:rsidR="00BF406F" w:rsidRDefault="00BF406F" w:rsidP="00465153">
            <w:pPr>
              <w:spacing w:before="0" w:after="0"/>
              <w:jc w:val="center"/>
              <w:rPr>
                <w:rFonts w:ascii="Times-Roman" w:hAnsi="Times-Roman" w:hint="eastAsia"/>
                <w:lang w:val="en-US"/>
              </w:rPr>
            </w:pPr>
            <w:r>
              <w:rPr>
                <w:rFonts w:ascii="Times-Roman" w:hAnsi="Times-Roman"/>
                <w:lang w:val="en-US"/>
              </w:rPr>
              <w:t xml:space="preserve">Figure 5. Radiation patterns of 8 CPE beams </w:t>
            </w:r>
          </w:p>
          <w:p w14:paraId="55A17956" w14:textId="57527370" w:rsidR="00BF406F" w:rsidRDefault="00BF406F" w:rsidP="00465153">
            <w:pPr>
              <w:spacing w:before="0"/>
              <w:jc w:val="center"/>
              <w:rPr>
                <w:rFonts w:ascii="Times-Roman" w:hAnsi="Times-Roman" w:hint="eastAsia"/>
                <w:lang w:val="en-US"/>
              </w:rPr>
            </w:pPr>
            <w:r>
              <w:rPr>
                <w:rFonts w:ascii="Times-Roman" w:hAnsi="Times-Roman"/>
                <w:lang w:val="en-US"/>
              </w:rPr>
              <w:t>(the antenna orientation shift of 168deg is considered)</w:t>
            </w:r>
          </w:p>
        </w:tc>
      </w:tr>
    </w:tbl>
    <w:p w14:paraId="479C2D16" w14:textId="6B2631AC" w:rsidR="0035026C" w:rsidRDefault="00465153" w:rsidP="00E25782">
      <w:pPr>
        <w:jc w:val="both"/>
        <w:rPr>
          <w:rFonts w:ascii="Times-Roman" w:hAnsi="Times-Roman" w:hint="eastAsia"/>
          <w:lang w:val="en-US"/>
        </w:rPr>
      </w:pPr>
      <w:r>
        <w:rPr>
          <w:rFonts w:ascii="Times-Roman" w:hAnsi="Times-Roman"/>
          <w:lang w:val="en-US"/>
        </w:rPr>
        <w:t xml:space="preserve">Figure 6 shows the comparison between DL SNR along the track for the case when one (red curve) and eight (blue curve) beams are used at the CPE. As we can see, the benefit of increasing the number of CPE beams is limited to the area where the second RRH beam is used. It is explained by misalignment between the second RRH beam and boresight CPE beam. However, in this area we already have sufficient link budget with single CPE beam. Moreover, the issue of the CPE beams number is mostly related to RRM where we need to define the number of beams for beam search. The </w:t>
      </w:r>
      <w:bookmarkStart w:id="6" w:name="_Hlk71379422"/>
      <w:r>
        <w:rPr>
          <w:rFonts w:ascii="Times-Roman" w:hAnsi="Times-Roman"/>
          <w:lang w:val="en-US"/>
        </w:rPr>
        <w:t xml:space="preserve">RRM requirements for SNR are much lower than the demodulation requirements for high MCS used in our analysis, so we are more than fine with the </w:t>
      </w:r>
      <w:bookmarkEnd w:id="6"/>
      <w:r>
        <w:rPr>
          <w:rFonts w:ascii="Times-Roman" w:hAnsi="Times-Roman"/>
          <w:lang w:val="en-US"/>
        </w:rPr>
        <w:t>SNR provided by single beam.</w:t>
      </w:r>
    </w:p>
    <w:p w14:paraId="334C786A" w14:textId="77777777" w:rsidR="00465153" w:rsidRPr="00C74833" w:rsidRDefault="00465153" w:rsidP="005B2C41">
      <w:pPr>
        <w:rPr>
          <w:rFonts w:ascii="Times-Roman" w:hAnsi="Times-Roman" w:hint="eastAsia"/>
          <w:lang w:val="en-US"/>
        </w:rPr>
      </w:pPr>
    </w:p>
    <w:tbl>
      <w:tblPr>
        <w:tblStyle w:val="TableGrid"/>
        <w:tblW w:w="0" w:type="auto"/>
        <w:tblLook w:val="04A0" w:firstRow="1" w:lastRow="0" w:firstColumn="1" w:lastColumn="0" w:noHBand="0" w:noVBand="1"/>
      </w:tblPr>
      <w:tblGrid>
        <w:gridCol w:w="9629"/>
      </w:tblGrid>
      <w:tr w:rsidR="005B2C41" w14:paraId="4FF961D5" w14:textId="77777777" w:rsidTr="00215391">
        <w:tc>
          <w:tcPr>
            <w:tcW w:w="9629" w:type="dxa"/>
          </w:tcPr>
          <w:p w14:paraId="490E3004" w14:textId="2CF5DA85" w:rsidR="005B2C41" w:rsidRDefault="005B2C41" w:rsidP="00215391">
            <w:pPr>
              <w:jc w:val="center"/>
              <w:rPr>
                <w:rFonts w:ascii="Times-Roman" w:hAnsi="Times-Roman" w:hint="eastAsia"/>
                <w:lang w:val="en-US"/>
              </w:rPr>
            </w:pPr>
            <w:r w:rsidRPr="00AE7387">
              <w:rPr>
                <w:rFonts w:ascii="Times-Roman" w:hAnsi="Times-Roman" w:hint="eastAsia"/>
                <w:noProof/>
                <w:lang w:val="en-US"/>
              </w:rPr>
              <w:drawing>
                <wp:inline distT="0" distB="0" distL="0" distR="0" wp14:anchorId="6FD2680F" wp14:editId="75EEF13F">
                  <wp:extent cx="5266944" cy="204075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a:extLst>
                              <a:ext uri="{28A0092B-C50C-407E-A947-70E740481C1C}">
                                <a14:useLocalDpi xmlns:a14="http://schemas.microsoft.com/office/drawing/2010/main" val="0"/>
                              </a:ext>
                            </a:extLst>
                          </a:blip>
                          <a:srcRect l="8373" r="5499"/>
                          <a:stretch/>
                        </pic:blipFill>
                        <pic:spPr bwMode="auto">
                          <a:xfrm>
                            <a:off x="0" y="0"/>
                            <a:ext cx="5267302" cy="2040890"/>
                          </a:xfrm>
                          <a:prstGeom prst="rect">
                            <a:avLst/>
                          </a:prstGeom>
                          <a:noFill/>
                          <a:ln>
                            <a:noFill/>
                          </a:ln>
                          <a:extLst>
                            <a:ext uri="{53640926-AAD7-44D8-BBD7-CCE9431645EC}">
                              <a14:shadowObscured xmlns:a14="http://schemas.microsoft.com/office/drawing/2010/main"/>
                            </a:ext>
                          </a:extLst>
                        </pic:spPr>
                      </pic:pic>
                    </a:graphicData>
                  </a:graphic>
                </wp:inline>
              </w:drawing>
            </w:r>
          </w:p>
          <w:p w14:paraId="7FC8A89C" w14:textId="46ABF5AA" w:rsidR="00A20DFD" w:rsidRDefault="00A20DFD" w:rsidP="00465153">
            <w:pPr>
              <w:spacing w:before="0"/>
              <w:jc w:val="center"/>
              <w:rPr>
                <w:rFonts w:ascii="Times-Roman" w:hAnsi="Times-Roman" w:hint="eastAsia"/>
                <w:lang w:val="en-US"/>
              </w:rPr>
            </w:pPr>
            <w:r>
              <w:rPr>
                <w:rFonts w:ascii="Times-Roman" w:hAnsi="Times-Roman"/>
                <w:lang w:val="en-US"/>
              </w:rPr>
              <w:t xml:space="preserve">Figure </w:t>
            </w:r>
            <w:r w:rsidR="00465153">
              <w:rPr>
                <w:rFonts w:ascii="Times-Roman" w:hAnsi="Times-Roman"/>
                <w:lang w:val="en-US"/>
              </w:rPr>
              <w:t>6</w:t>
            </w:r>
            <w:r>
              <w:rPr>
                <w:rFonts w:ascii="Times-Roman" w:hAnsi="Times-Roman"/>
                <w:lang w:val="en-US"/>
              </w:rPr>
              <w:t>. DL SNR along the track for the cases when one (red curve) and eight (blue curve) beams are used at the UE</w:t>
            </w:r>
          </w:p>
        </w:tc>
      </w:tr>
    </w:tbl>
    <w:p w14:paraId="7066705F" w14:textId="77777777" w:rsidR="00465153" w:rsidRDefault="00465153" w:rsidP="005B2C41">
      <w:pPr>
        <w:rPr>
          <w:rFonts w:ascii="Times-Roman" w:hAnsi="Times-Roman" w:hint="eastAsia"/>
          <w:b/>
          <w:bCs/>
          <w:lang w:val="en-US"/>
        </w:rPr>
      </w:pPr>
    </w:p>
    <w:p w14:paraId="2D2AF748" w14:textId="42824F10" w:rsidR="005B2C41" w:rsidRPr="00465153" w:rsidRDefault="00465153" w:rsidP="005B2C41">
      <w:pPr>
        <w:rPr>
          <w:rFonts w:ascii="Times-Roman" w:hAnsi="Times-Roman" w:hint="eastAsia"/>
          <w:b/>
          <w:bCs/>
          <w:lang w:val="en-US"/>
        </w:rPr>
      </w:pPr>
      <w:r w:rsidRPr="00465153">
        <w:rPr>
          <w:rFonts w:ascii="Times-Roman" w:hAnsi="Times-Roman"/>
          <w:b/>
          <w:bCs/>
          <w:lang w:val="en-US"/>
        </w:rPr>
        <w:t xml:space="preserve">Proposal </w:t>
      </w:r>
      <w:r w:rsidR="00ED5851">
        <w:rPr>
          <w:rFonts w:ascii="Times-Roman" w:hAnsi="Times-Roman"/>
          <w:b/>
          <w:bCs/>
          <w:lang w:val="en-US"/>
        </w:rPr>
        <w:t>4</w:t>
      </w:r>
      <w:r w:rsidRPr="00465153">
        <w:rPr>
          <w:rFonts w:ascii="Times-Roman" w:hAnsi="Times-Roman"/>
          <w:b/>
          <w:bCs/>
          <w:lang w:val="en-US"/>
        </w:rPr>
        <w:t>:</w:t>
      </w:r>
      <w:r>
        <w:rPr>
          <w:rFonts w:ascii="Times-Roman" w:hAnsi="Times-Roman"/>
          <w:lang w:val="en-US"/>
        </w:rPr>
        <w:t xml:space="preserve"> </w:t>
      </w:r>
      <w:r>
        <w:rPr>
          <w:rFonts w:ascii="Times-Roman" w:hAnsi="Times-Roman"/>
          <w:b/>
          <w:bCs/>
          <w:lang w:val="en-US"/>
        </w:rPr>
        <w:t xml:space="preserve">For </w:t>
      </w:r>
      <w:r w:rsidR="00215391">
        <w:rPr>
          <w:b/>
        </w:rPr>
        <w:t>uni-directional Scenario-B</w:t>
      </w:r>
      <w:r w:rsidR="00215391">
        <w:rPr>
          <w:rFonts w:ascii="Times-Roman" w:hAnsi="Times-Roman"/>
          <w:b/>
          <w:bCs/>
          <w:lang w:val="en-US"/>
        </w:rPr>
        <w:t xml:space="preserve"> </w:t>
      </w:r>
      <w:r>
        <w:rPr>
          <w:rFonts w:ascii="Times-Roman" w:hAnsi="Times-Roman"/>
          <w:b/>
          <w:bCs/>
          <w:lang w:val="en-US"/>
        </w:rPr>
        <w:t xml:space="preserve">deployment RAN4 to </w:t>
      </w:r>
      <w:r w:rsidRPr="005B2C41">
        <w:rPr>
          <w:rFonts w:ascii="Times-Roman" w:hAnsi="Times-Roman"/>
          <w:b/>
          <w:bCs/>
          <w:lang w:val="en-US"/>
        </w:rPr>
        <w:t xml:space="preserve">consider </w:t>
      </w:r>
      <w:r>
        <w:rPr>
          <w:rFonts w:ascii="Times-Roman" w:hAnsi="Times-Roman"/>
          <w:b/>
          <w:bCs/>
          <w:lang w:val="en-US"/>
        </w:rPr>
        <w:t>1</w:t>
      </w:r>
      <w:r w:rsidRPr="005B2C41">
        <w:rPr>
          <w:rFonts w:ascii="Times-Roman" w:hAnsi="Times-Roman"/>
          <w:b/>
          <w:bCs/>
          <w:lang w:val="en-US"/>
        </w:rPr>
        <w:t xml:space="preserve"> </w:t>
      </w:r>
      <w:r>
        <w:rPr>
          <w:rFonts w:ascii="Times-Roman" w:hAnsi="Times-Roman"/>
          <w:b/>
          <w:bCs/>
          <w:lang w:val="en-US"/>
        </w:rPr>
        <w:t>beams per UE</w:t>
      </w:r>
      <w:r w:rsidRPr="005B2C41">
        <w:rPr>
          <w:rFonts w:ascii="Times-Roman" w:hAnsi="Times-Roman"/>
          <w:b/>
          <w:bCs/>
          <w:lang w:val="en-US"/>
        </w:rPr>
        <w:t xml:space="preserve"> </w:t>
      </w:r>
      <w:r>
        <w:rPr>
          <w:rFonts w:ascii="Times-Roman" w:hAnsi="Times-Roman"/>
          <w:b/>
          <w:bCs/>
          <w:lang w:val="en-US"/>
        </w:rPr>
        <w:t>panel</w:t>
      </w:r>
    </w:p>
    <w:p w14:paraId="40387A8C" w14:textId="0403E745" w:rsidR="005B2C41" w:rsidRDefault="005B2C41" w:rsidP="005B2C41">
      <w:pPr>
        <w:pStyle w:val="Heading2"/>
      </w:pPr>
      <w:r>
        <w:t>Bi-directional deployment</w:t>
      </w:r>
    </w:p>
    <w:p w14:paraId="0498D067" w14:textId="0CAB5610" w:rsidR="00BE2DCB" w:rsidRDefault="00C136C5" w:rsidP="00E25782">
      <w:pPr>
        <w:jc w:val="both"/>
      </w:pPr>
      <w:r>
        <w:t xml:space="preserve">Both proposal on number of RRH beams and CPE beams are also applicable for bi-directional deployment with the only difference on the number of active panels which is doubled for bi-directional deployment. </w:t>
      </w:r>
    </w:p>
    <w:p w14:paraId="00178F8D" w14:textId="5C93199E" w:rsidR="00C136C5" w:rsidRPr="005B2C41" w:rsidRDefault="00C136C5" w:rsidP="00E25782">
      <w:pPr>
        <w:jc w:val="both"/>
        <w:rPr>
          <w:rFonts w:ascii="Times-Roman" w:hAnsi="Times-Roman" w:hint="eastAsia"/>
          <w:b/>
          <w:bCs/>
          <w:lang w:val="en-US"/>
        </w:rPr>
      </w:pPr>
      <w:r w:rsidRPr="005B2C41">
        <w:rPr>
          <w:rFonts w:ascii="Times-Roman" w:hAnsi="Times-Roman"/>
          <w:b/>
          <w:bCs/>
          <w:lang w:val="en-US"/>
        </w:rPr>
        <w:t xml:space="preserve">Proposal </w:t>
      </w:r>
      <w:r>
        <w:rPr>
          <w:rFonts w:ascii="Times-Roman" w:hAnsi="Times-Roman"/>
          <w:b/>
          <w:bCs/>
          <w:lang w:val="en-US"/>
        </w:rPr>
        <w:t>5</w:t>
      </w:r>
      <w:r w:rsidRPr="005B2C41">
        <w:rPr>
          <w:rFonts w:ascii="Times-Roman" w:hAnsi="Times-Roman"/>
          <w:b/>
          <w:bCs/>
          <w:lang w:val="en-US"/>
        </w:rPr>
        <w:t xml:space="preserve">: </w:t>
      </w:r>
      <w:r>
        <w:rPr>
          <w:rFonts w:ascii="Times-Roman" w:hAnsi="Times-Roman"/>
          <w:b/>
          <w:bCs/>
          <w:lang w:val="en-US"/>
        </w:rPr>
        <w:t xml:space="preserve">For </w:t>
      </w:r>
      <w:r w:rsidR="008B5C5E">
        <w:rPr>
          <w:b/>
        </w:rPr>
        <w:t>bi</w:t>
      </w:r>
      <w:r w:rsidR="00215391">
        <w:rPr>
          <w:b/>
        </w:rPr>
        <w:t>-directional Scenario-B</w:t>
      </w:r>
      <w:r w:rsidR="00215391">
        <w:rPr>
          <w:rFonts w:ascii="Times-Roman" w:hAnsi="Times-Roman"/>
          <w:b/>
          <w:bCs/>
          <w:lang w:val="en-US"/>
        </w:rPr>
        <w:t xml:space="preserve"> </w:t>
      </w:r>
      <w:r>
        <w:rPr>
          <w:rFonts w:ascii="Times-Roman" w:hAnsi="Times-Roman"/>
          <w:b/>
          <w:bCs/>
          <w:lang w:val="en-US"/>
        </w:rPr>
        <w:t xml:space="preserve">deployment RAN4 to </w:t>
      </w:r>
      <w:r w:rsidRPr="005B2C41">
        <w:rPr>
          <w:rFonts w:ascii="Times-Roman" w:hAnsi="Times-Roman"/>
          <w:b/>
          <w:bCs/>
          <w:lang w:val="en-US"/>
        </w:rPr>
        <w:t xml:space="preserve">consider 2 </w:t>
      </w:r>
      <w:r>
        <w:rPr>
          <w:rFonts w:ascii="Times-Roman" w:hAnsi="Times-Roman"/>
          <w:b/>
          <w:bCs/>
          <w:lang w:val="en-US"/>
        </w:rPr>
        <w:t>beams per RRH</w:t>
      </w:r>
      <w:r w:rsidRPr="005B2C41">
        <w:rPr>
          <w:rFonts w:ascii="Times-Roman" w:hAnsi="Times-Roman"/>
          <w:b/>
          <w:bCs/>
          <w:lang w:val="en-US"/>
        </w:rPr>
        <w:t xml:space="preserve"> </w:t>
      </w:r>
      <w:r>
        <w:rPr>
          <w:rFonts w:ascii="Times-Roman" w:hAnsi="Times-Roman"/>
          <w:b/>
          <w:bCs/>
          <w:lang w:val="en-US"/>
        </w:rPr>
        <w:t>panel, two panels per RRH (4 beams in total).</w:t>
      </w:r>
    </w:p>
    <w:p w14:paraId="32C405FC" w14:textId="2E6AB183" w:rsidR="00C136C5" w:rsidRPr="00465153" w:rsidRDefault="00C136C5" w:rsidP="00E25782">
      <w:pPr>
        <w:jc w:val="both"/>
        <w:rPr>
          <w:rFonts w:ascii="Times-Roman" w:hAnsi="Times-Roman" w:hint="eastAsia"/>
          <w:b/>
          <w:bCs/>
          <w:lang w:val="en-US"/>
        </w:rPr>
      </w:pPr>
      <w:r w:rsidRPr="00465153">
        <w:rPr>
          <w:rFonts w:ascii="Times-Roman" w:hAnsi="Times-Roman"/>
          <w:b/>
          <w:bCs/>
          <w:lang w:val="en-US"/>
        </w:rPr>
        <w:t xml:space="preserve">Proposal </w:t>
      </w:r>
      <w:r w:rsidR="00332C4D">
        <w:rPr>
          <w:rFonts w:ascii="Times-Roman" w:hAnsi="Times-Roman"/>
          <w:b/>
          <w:bCs/>
          <w:lang w:val="en-US"/>
        </w:rPr>
        <w:t>6</w:t>
      </w:r>
      <w:r w:rsidRPr="00465153">
        <w:rPr>
          <w:rFonts w:ascii="Times-Roman" w:hAnsi="Times-Roman"/>
          <w:b/>
          <w:bCs/>
          <w:lang w:val="en-US"/>
        </w:rPr>
        <w:t>:</w:t>
      </w:r>
      <w:r>
        <w:rPr>
          <w:rFonts w:ascii="Times-Roman" w:hAnsi="Times-Roman"/>
          <w:lang w:val="en-US"/>
        </w:rPr>
        <w:t xml:space="preserve"> </w:t>
      </w:r>
      <w:r>
        <w:rPr>
          <w:rFonts w:ascii="Times-Roman" w:hAnsi="Times-Roman"/>
          <w:b/>
          <w:bCs/>
          <w:lang w:val="en-US"/>
        </w:rPr>
        <w:t xml:space="preserve">For </w:t>
      </w:r>
      <w:r w:rsidR="008B5C5E">
        <w:rPr>
          <w:b/>
        </w:rPr>
        <w:t>bi</w:t>
      </w:r>
      <w:r w:rsidR="00215391">
        <w:rPr>
          <w:b/>
        </w:rPr>
        <w:t>-directional Scenario-B</w:t>
      </w:r>
      <w:r w:rsidR="00215391">
        <w:rPr>
          <w:rFonts w:ascii="Times-Roman" w:hAnsi="Times-Roman"/>
          <w:b/>
          <w:bCs/>
          <w:lang w:val="en-US"/>
        </w:rPr>
        <w:t xml:space="preserve"> </w:t>
      </w:r>
      <w:r>
        <w:rPr>
          <w:rFonts w:ascii="Times-Roman" w:hAnsi="Times-Roman"/>
          <w:b/>
          <w:bCs/>
          <w:lang w:val="en-US"/>
        </w:rPr>
        <w:t xml:space="preserve">deployment RAN4 to </w:t>
      </w:r>
      <w:r w:rsidRPr="005B2C41">
        <w:rPr>
          <w:rFonts w:ascii="Times-Roman" w:hAnsi="Times-Roman"/>
          <w:b/>
          <w:bCs/>
          <w:lang w:val="en-US"/>
        </w:rPr>
        <w:t xml:space="preserve">consider </w:t>
      </w:r>
      <w:r>
        <w:rPr>
          <w:rFonts w:ascii="Times-Roman" w:hAnsi="Times-Roman"/>
          <w:b/>
          <w:bCs/>
          <w:lang w:val="en-US"/>
        </w:rPr>
        <w:t>1</w:t>
      </w:r>
      <w:r w:rsidRPr="005B2C41">
        <w:rPr>
          <w:rFonts w:ascii="Times-Roman" w:hAnsi="Times-Roman"/>
          <w:b/>
          <w:bCs/>
          <w:lang w:val="en-US"/>
        </w:rPr>
        <w:t xml:space="preserve"> </w:t>
      </w:r>
      <w:r>
        <w:rPr>
          <w:rFonts w:ascii="Times-Roman" w:hAnsi="Times-Roman"/>
          <w:b/>
          <w:bCs/>
          <w:lang w:val="en-US"/>
        </w:rPr>
        <w:t>beam per UE</w:t>
      </w:r>
      <w:r w:rsidRPr="005B2C41">
        <w:rPr>
          <w:rFonts w:ascii="Times-Roman" w:hAnsi="Times-Roman"/>
          <w:b/>
          <w:bCs/>
          <w:lang w:val="en-US"/>
        </w:rPr>
        <w:t xml:space="preserve"> </w:t>
      </w:r>
      <w:r>
        <w:rPr>
          <w:rFonts w:ascii="Times-Roman" w:hAnsi="Times-Roman"/>
          <w:b/>
          <w:bCs/>
          <w:lang w:val="en-US"/>
        </w:rPr>
        <w:t>panel, two panels per UE (2 beams in total).</w:t>
      </w:r>
    </w:p>
    <w:p w14:paraId="563F9448" w14:textId="0063E07F" w:rsidR="00465153" w:rsidRDefault="00C136C5" w:rsidP="00E25782">
      <w:pPr>
        <w:jc w:val="both"/>
        <w:rPr>
          <w:rFonts w:ascii="Times-Roman" w:hAnsi="Times-Roman" w:hint="eastAsia"/>
          <w:lang w:val="en-US"/>
        </w:rPr>
      </w:pPr>
      <w:r>
        <w:rPr>
          <w:lang w:val="en-US"/>
        </w:rPr>
        <w:lastRenderedPageBreak/>
        <w:t xml:space="preserve">In Figure 7 we introduce </w:t>
      </w:r>
      <w:r>
        <w:rPr>
          <w:rFonts w:ascii="Times-Roman" w:hAnsi="Times-Roman"/>
          <w:lang w:val="en-US"/>
        </w:rPr>
        <w:t xml:space="preserve">DL SNR along the track for the case </w:t>
      </w:r>
      <w:r w:rsidR="0085678E">
        <w:rPr>
          <w:rFonts w:ascii="Times-Roman" w:hAnsi="Times-Roman"/>
          <w:lang w:val="en-US"/>
        </w:rPr>
        <w:t xml:space="preserve">of </w:t>
      </w:r>
      <w:r>
        <w:rPr>
          <w:rFonts w:ascii="Times-Roman" w:hAnsi="Times-Roman"/>
          <w:lang w:val="en-US"/>
        </w:rPr>
        <w:t>bi- directional deployment.</w:t>
      </w:r>
      <w:r w:rsidR="0085678E">
        <w:rPr>
          <w:rFonts w:ascii="Times-Roman" w:hAnsi="Times-Roman"/>
          <w:lang w:val="en-US"/>
        </w:rPr>
        <w:t xml:space="preserve"> Comparing to the case of uni-directional deployment we can see that there is some performance improvement on the half of the distance. At the same time we have more switching points in bi-directional deployment</w:t>
      </w:r>
      <w:r w:rsidR="00215391">
        <w:rPr>
          <w:rFonts w:ascii="Times-Roman" w:hAnsi="Times-Roman"/>
          <w:lang w:val="en-US"/>
        </w:rPr>
        <w:t xml:space="preserve"> (dash-dotted lines in Figure 7)</w:t>
      </w:r>
      <w:r w:rsidR="0085678E">
        <w:rPr>
          <w:rFonts w:ascii="Times-Roman" w:hAnsi="Times-Roman"/>
          <w:lang w:val="en-US"/>
        </w:rPr>
        <w:t xml:space="preserve">. </w:t>
      </w:r>
      <w:r w:rsidR="00215391">
        <w:rPr>
          <w:rFonts w:ascii="Times-Roman" w:hAnsi="Times-Roman"/>
          <w:lang w:val="en-US"/>
        </w:rPr>
        <w:t xml:space="preserve">These switching points </w:t>
      </w:r>
      <w:r w:rsidR="009304C2">
        <w:rPr>
          <w:rFonts w:ascii="Times-Roman" w:hAnsi="Times-Roman"/>
          <w:lang w:val="en-US"/>
        </w:rPr>
        <w:t xml:space="preserve">split the inter-RRH distance into 4 intervals </w:t>
      </w:r>
      <w:r w:rsidR="00215391">
        <w:rPr>
          <w:rFonts w:ascii="Times-Roman" w:hAnsi="Times-Roman"/>
          <w:lang w:val="en-US"/>
        </w:rPr>
        <w:t xml:space="preserve">which correspond to two beam dwelling times - </w:t>
      </w:r>
      <w:r w:rsidR="00215391" w:rsidRPr="00BE2DCB">
        <w:t>0.97</w:t>
      </w:r>
      <w:r w:rsidR="00215391">
        <w:t xml:space="preserve">s and </w:t>
      </w:r>
      <w:r w:rsidR="00215391" w:rsidRPr="00BE2DCB">
        <w:t>2.63</w:t>
      </w:r>
      <w:r w:rsidR="00215391">
        <w:t>s</w:t>
      </w:r>
    </w:p>
    <w:p w14:paraId="3FE38D49" w14:textId="09909201" w:rsidR="00215391" w:rsidRDefault="00215391" w:rsidP="00E25782">
      <w:pPr>
        <w:jc w:val="both"/>
        <w:rPr>
          <w:rFonts w:ascii="Times-Roman" w:hAnsi="Times-Roman" w:hint="eastAsia"/>
          <w:b/>
          <w:bCs/>
          <w:lang w:val="en-US"/>
        </w:rPr>
      </w:pPr>
      <w:r w:rsidRPr="00385BF8">
        <w:rPr>
          <w:rFonts w:ascii="Times-Roman" w:hAnsi="Times-Roman"/>
          <w:b/>
          <w:bCs/>
          <w:lang w:val="en-US"/>
        </w:rPr>
        <w:t xml:space="preserve">Proposal </w:t>
      </w:r>
      <w:r>
        <w:rPr>
          <w:rFonts w:ascii="Times-Roman" w:hAnsi="Times-Roman"/>
          <w:b/>
          <w:bCs/>
          <w:lang w:val="en-US"/>
        </w:rPr>
        <w:t>7</w:t>
      </w:r>
      <w:r w:rsidRPr="00385BF8">
        <w:rPr>
          <w:rFonts w:ascii="Times-Roman" w:hAnsi="Times-Roman"/>
          <w:b/>
          <w:bCs/>
          <w:lang w:val="en-US"/>
        </w:rPr>
        <w:t xml:space="preserve">: </w:t>
      </w:r>
      <w:r>
        <w:rPr>
          <w:b/>
        </w:rPr>
        <w:t xml:space="preserve">For </w:t>
      </w:r>
      <w:r w:rsidR="008B5C5E">
        <w:rPr>
          <w:b/>
        </w:rPr>
        <w:t>bi</w:t>
      </w:r>
      <w:r>
        <w:rPr>
          <w:b/>
        </w:rPr>
        <w:t xml:space="preserve">-directional Scenario-B deployment </w:t>
      </w:r>
      <w:r>
        <w:rPr>
          <w:rFonts w:ascii="Times-Roman" w:hAnsi="Times-Roman"/>
          <w:b/>
          <w:bCs/>
          <w:lang w:val="en-US"/>
        </w:rPr>
        <w:t>RAN4 to consider b</w:t>
      </w:r>
      <w:r w:rsidRPr="00385BF8">
        <w:rPr>
          <w:rFonts w:ascii="Times-Roman" w:hAnsi="Times-Roman"/>
          <w:b/>
          <w:bCs/>
          <w:lang w:val="en-US"/>
        </w:rPr>
        <w:t xml:space="preserve">eam dwelling time </w:t>
      </w:r>
      <w:r w:rsidRPr="00332C4D">
        <w:rPr>
          <w:rFonts w:ascii="Times-Roman" w:hAnsi="Times-Roman"/>
          <w:b/>
          <w:bCs/>
          <w:lang w:val="en-US"/>
        </w:rPr>
        <w:t xml:space="preserve">for two types of intervals </w:t>
      </w:r>
      <w:r>
        <w:rPr>
          <w:rFonts w:ascii="Times-Roman" w:hAnsi="Times-Roman"/>
          <w:b/>
          <w:bCs/>
          <w:lang w:val="en-US"/>
        </w:rPr>
        <w:t xml:space="preserve">equal to </w:t>
      </w:r>
      <w:r w:rsidRPr="00332C4D">
        <w:rPr>
          <w:rFonts w:ascii="Times-Roman" w:hAnsi="Times-Roman"/>
          <w:b/>
          <w:bCs/>
          <w:lang w:val="en-US"/>
        </w:rPr>
        <w:t>0.97s and 2.63s</w:t>
      </w:r>
      <w:r w:rsidRPr="00385BF8">
        <w:rPr>
          <w:rFonts w:ascii="Times-Roman" w:hAnsi="Times-Roman"/>
          <w:b/>
          <w:bCs/>
          <w:lang w:val="en-US"/>
        </w:rPr>
        <w:t>.</w:t>
      </w:r>
    </w:p>
    <w:p w14:paraId="20662494" w14:textId="33E2D7CA" w:rsidR="0085678E" w:rsidRPr="00C136C5" w:rsidRDefault="0085678E" w:rsidP="00465153">
      <w:pPr>
        <w:rPr>
          <w:lang w:val="en-US"/>
        </w:rPr>
      </w:pPr>
    </w:p>
    <w:tbl>
      <w:tblPr>
        <w:tblStyle w:val="TableGrid"/>
        <w:tblW w:w="0" w:type="auto"/>
        <w:tblLook w:val="04A0" w:firstRow="1" w:lastRow="0" w:firstColumn="1" w:lastColumn="0" w:noHBand="0" w:noVBand="1"/>
      </w:tblPr>
      <w:tblGrid>
        <w:gridCol w:w="9629"/>
      </w:tblGrid>
      <w:tr w:rsidR="00465153" w14:paraId="34E3EA27" w14:textId="77777777" w:rsidTr="00465153">
        <w:tc>
          <w:tcPr>
            <w:tcW w:w="9629" w:type="dxa"/>
          </w:tcPr>
          <w:p w14:paraId="6BD3EE24" w14:textId="75463743" w:rsidR="0085678E" w:rsidRDefault="0085678E" w:rsidP="00465153">
            <w:pPr>
              <w:jc w:val="center"/>
            </w:pPr>
            <w:r>
              <w:object w:dxaOrig="20385" w:dyaOrig="6841" w14:anchorId="75CD1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186.55pt" o:ole="">
                  <v:imagedata r:id="rId13" o:title="" cropleft="7289f" cropright="4024f"/>
                </v:shape>
                <o:OLEObject Type="Embed" ProgID="Visio.Drawing.15" ShapeID="_x0000_i1025" DrawAspect="Content" ObjectID="_1682290638" r:id="rId14"/>
              </w:object>
            </w:r>
          </w:p>
          <w:p w14:paraId="5FEA26EB" w14:textId="3E11F92F" w:rsidR="00465153" w:rsidRDefault="00465153" w:rsidP="00465153">
            <w:pPr>
              <w:jc w:val="center"/>
            </w:pPr>
            <w:r>
              <w:t>Figure 7.</w:t>
            </w:r>
            <w:r w:rsidR="00F81F92">
              <w:rPr>
                <w:rFonts w:ascii="Times-Roman" w:hAnsi="Times-Roman"/>
                <w:lang w:val="en-US"/>
              </w:rPr>
              <w:t xml:space="preserve"> DL SNR along the track for the cases of uni- and bi- directional deployments </w:t>
            </w:r>
          </w:p>
        </w:tc>
      </w:tr>
    </w:tbl>
    <w:p w14:paraId="28566E40" w14:textId="77777777" w:rsidR="009C6012" w:rsidRDefault="009C6012" w:rsidP="009C6012">
      <w:pPr>
        <w:rPr>
          <w:lang w:val="en-US"/>
        </w:rPr>
      </w:pPr>
    </w:p>
    <w:p w14:paraId="1D1E26BC" w14:textId="3B2CEB9B" w:rsidR="009C6012" w:rsidRDefault="009C6012" w:rsidP="00E25782">
      <w:pPr>
        <w:jc w:val="both"/>
      </w:pPr>
      <w:r>
        <w:rPr>
          <w:lang w:val="en-US"/>
        </w:rPr>
        <w:t xml:space="preserve">In Figure 7 for each interval we added a notification in </w:t>
      </w:r>
      <w:r w:rsidRPr="00215391">
        <w:rPr>
          <w:color w:val="7030A0"/>
          <w:lang w:val="en-US"/>
        </w:rPr>
        <w:t xml:space="preserve">purple </w:t>
      </w:r>
      <w:r>
        <w:rPr>
          <w:lang w:val="en-US"/>
        </w:rPr>
        <w:t>which RRH serves this interval. As we can see, UE during its movement jumps frequently between the RRHs a</w:t>
      </w:r>
      <w:r>
        <w:rPr>
          <w:rFonts w:ascii="Times-Roman" w:hAnsi="Times-Roman"/>
          <w:lang w:val="en-US"/>
        </w:rPr>
        <w:t>lternating the direction of its connection and changing serving RRH at each switching point. Such behavior w</w:t>
      </w:r>
      <w:r>
        <w:t xml:space="preserve">ill require complex </w:t>
      </w:r>
      <w:r w:rsidR="001B2C06">
        <w:t>D</w:t>
      </w:r>
      <w:r>
        <w:t xml:space="preserve">oppler </w:t>
      </w:r>
      <w:r w:rsidR="001B2C06">
        <w:t xml:space="preserve">shift </w:t>
      </w:r>
      <w:r>
        <w:t>model which will need to consider all these intervals.</w:t>
      </w:r>
    </w:p>
    <w:p w14:paraId="28C0BA83" w14:textId="778F707E" w:rsidR="009C6012" w:rsidRDefault="009C6012" w:rsidP="00E25782">
      <w:pPr>
        <w:jc w:val="both"/>
      </w:pPr>
      <w:r>
        <w:t>Switching positions are located at Ds_offset = [-700, -445, -350, -255, 0, 255, 350, 445, 700]</w:t>
      </w:r>
    </w:p>
    <w:p w14:paraId="54DB7FFE" w14:textId="61562AFD" w:rsidR="009C6012" w:rsidRPr="001B2C06" w:rsidRDefault="009C6012" w:rsidP="00E25782">
      <w:pPr>
        <w:jc w:val="both"/>
        <w:rPr>
          <w:b/>
        </w:rPr>
      </w:pPr>
      <w:r w:rsidRPr="009C6012">
        <w:rPr>
          <w:b/>
          <w:bCs/>
        </w:rPr>
        <w:t>Observation 2:</w:t>
      </w:r>
      <w:r>
        <w:rPr>
          <w:b/>
          <w:bCs/>
        </w:rPr>
        <w:t xml:space="preserve"> </w:t>
      </w:r>
      <w:r>
        <w:rPr>
          <w:b/>
        </w:rPr>
        <w:t xml:space="preserve">For bi-directional Scenario-B deployment </w:t>
      </w:r>
      <w:r w:rsidR="001B2C06">
        <w:rPr>
          <w:b/>
        </w:rPr>
        <w:t xml:space="preserve">with two RRH beams </w:t>
      </w:r>
      <w:r w:rsidR="001B2C06" w:rsidRPr="001B2C06">
        <w:rPr>
          <w:b/>
        </w:rPr>
        <w:t>s</w:t>
      </w:r>
      <w:r w:rsidRPr="001B2C06">
        <w:rPr>
          <w:b/>
        </w:rPr>
        <w:t>witching positions are located at Ds_offset = [-700, -445, -350, -255, 0, 255, 350, 445, 700]</w:t>
      </w:r>
      <w:r w:rsidR="001B2C06">
        <w:rPr>
          <w:b/>
        </w:rPr>
        <w:t>. At each of this points UE changes the serving RRH and the serving direction.</w:t>
      </w:r>
    </w:p>
    <w:p w14:paraId="04C0009F" w14:textId="77777777" w:rsidR="009C6012" w:rsidRDefault="009C6012" w:rsidP="00E25782">
      <w:pPr>
        <w:jc w:val="both"/>
      </w:pPr>
      <w:r>
        <w:t xml:space="preserve">Another problem lies in the cell boundary where such frequent RRH switching will </w:t>
      </w:r>
      <w:r>
        <w:rPr>
          <w:lang w:val="en-US"/>
        </w:rPr>
        <w:t>turn</w:t>
      </w:r>
      <w:r>
        <w:t xml:space="preserve"> into handover ping-pong effect. In the extreme case of a single RRH per BBU, at each switching point UE will change the serving cell. Number of RRH switching points should be minimized</w:t>
      </w:r>
    </w:p>
    <w:p w14:paraId="54E47CBF" w14:textId="77777777" w:rsidR="009C6012" w:rsidRDefault="009C6012" w:rsidP="00E25782">
      <w:pPr>
        <w:jc w:val="both"/>
      </w:pPr>
      <w:bookmarkStart w:id="7" w:name="_Hlk71601450"/>
      <w:r>
        <w:t xml:space="preserve">From the overall system performance point of view, we think that the best way to exploit </w:t>
      </w:r>
      <w:r w:rsidRPr="004E6689">
        <w:t xml:space="preserve">two directions </w:t>
      </w:r>
      <w:r>
        <w:t xml:space="preserve">is to double total system throughput by serving two UEs </w:t>
      </w:r>
      <w:r w:rsidRPr="004E6689">
        <w:t>in uni-directional mode</w:t>
      </w:r>
      <w:r>
        <w:t xml:space="preserve"> in two opposite directions</w:t>
      </w:r>
    </w:p>
    <w:bookmarkEnd w:id="7"/>
    <w:p w14:paraId="5C9292F0" w14:textId="6A8DAADC" w:rsidR="009C6012" w:rsidRDefault="009C6012" w:rsidP="00E25782">
      <w:pPr>
        <w:jc w:val="both"/>
        <w:rPr>
          <w:rFonts w:ascii="Times-Roman" w:hAnsi="Times-Roman" w:hint="eastAsia"/>
          <w:b/>
          <w:bCs/>
        </w:rPr>
      </w:pPr>
      <w:r w:rsidRPr="008B5C5E">
        <w:rPr>
          <w:rFonts w:ascii="Times-Roman" w:hAnsi="Times-Roman"/>
          <w:b/>
          <w:bCs/>
        </w:rPr>
        <w:t xml:space="preserve">Observation </w:t>
      </w:r>
      <w:r w:rsidR="001B2C06">
        <w:rPr>
          <w:rFonts w:ascii="Times-Roman" w:hAnsi="Times-Roman"/>
          <w:b/>
          <w:bCs/>
        </w:rPr>
        <w:t>3</w:t>
      </w:r>
      <w:r w:rsidRPr="008B5C5E">
        <w:rPr>
          <w:rFonts w:ascii="Times-Roman" w:hAnsi="Times-Roman"/>
          <w:b/>
          <w:bCs/>
        </w:rPr>
        <w:t xml:space="preserve">: </w:t>
      </w:r>
      <w:r>
        <w:rPr>
          <w:rFonts w:ascii="Times-Roman" w:hAnsi="Times-Roman"/>
          <w:b/>
          <w:bCs/>
        </w:rPr>
        <w:t>T</w:t>
      </w:r>
      <w:r w:rsidRPr="008B5C5E">
        <w:rPr>
          <w:rFonts w:ascii="Times-Roman" w:hAnsi="Times-Roman"/>
          <w:b/>
          <w:bCs/>
        </w:rPr>
        <w:t xml:space="preserve">he following pros and cons of bi-directional </w:t>
      </w:r>
      <w:r>
        <w:rPr>
          <w:b/>
        </w:rPr>
        <w:t xml:space="preserve">Scenario-B deployment </w:t>
      </w:r>
      <w:r w:rsidRPr="008B5C5E">
        <w:rPr>
          <w:rFonts w:ascii="Times-Roman" w:hAnsi="Times-Roman"/>
          <w:b/>
          <w:bCs/>
        </w:rPr>
        <w:t>were identified</w:t>
      </w:r>
      <w:r>
        <w:rPr>
          <w:rFonts w:ascii="Times-Roman" w:hAnsi="Times-Roman"/>
          <w:b/>
          <w:bCs/>
        </w:rPr>
        <w:t>:</w:t>
      </w:r>
    </w:p>
    <w:p w14:paraId="7E1BDC12" w14:textId="38B120E3" w:rsidR="009C6012" w:rsidRDefault="001B2C06" w:rsidP="00E25782">
      <w:pPr>
        <w:pStyle w:val="ListParagraph"/>
        <w:numPr>
          <w:ilvl w:val="0"/>
          <w:numId w:val="3"/>
        </w:numPr>
        <w:jc w:val="both"/>
        <w:rPr>
          <w:b/>
          <w:bCs/>
        </w:rPr>
      </w:pPr>
      <w:r>
        <w:rPr>
          <w:b/>
          <w:bCs/>
        </w:rPr>
        <w:t>Frequent change of serving RRH and consequent change of the direction to the serving RRH leads to complicating of Doppler model which will need to consider each of these switches.</w:t>
      </w:r>
    </w:p>
    <w:p w14:paraId="0DD6AB68" w14:textId="77777777" w:rsidR="009C6012" w:rsidRPr="00A627C2" w:rsidRDefault="009C6012" w:rsidP="00E25782">
      <w:pPr>
        <w:pStyle w:val="ListParagraph"/>
        <w:numPr>
          <w:ilvl w:val="0"/>
          <w:numId w:val="3"/>
        </w:numPr>
        <w:jc w:val="both"/>
        <w:rPr>
          <w:b/>
          <w:bCs/>
        </w:rPr>
      </w:pPr>
      <w:r w:rsidRPr="00A627C2">
        <w:rPr>
          <w:b/>
          <w:bCs/>
        </w:rPr>
        <w:t xml:space="preserve">In the cell boundary frequent RRH switching will </w:t>
      </w:r>
      <w:r w:rsidRPr="00A627C2">
        <w:rPr>
          <w:b/>
          <w:bCs/>
          <w:lang w:val="en-US"/>
        </w:rPr>
        <w:t>turn</w:t>
      </w:r>
      <w:r w:rsidRPr="00A627C2">
        <w:rPr>
          <w:b/>
          <w:bCs/>
        </w:rPr>
        <w:t xml:space="preserve"> into handover ping-pong effect </w:t>
      </w:r>
    </w:p>
    <w:p w14:paraId="3FE2DC42" w14:textId="77777777" w:rsidR="00125CB7" w:rsidRPr="001B2C06" w:rsidRDefault="00125CB7" w:rsidP="00E25782">
      <w:pPr>
        <w:pStyle w:val="ListParagraph"/>
        <w:numPr>
          <w:ilvl w:val="0"/>
          <w:numId w:val="3"/>
        </w:numPr>
        <w:jc w:val="both"/>
        <w:rPr>
          <w:rFonts w:ascii="Times-Roman" w:hAnsi="Times-Roman" w:hint="eastAsia"/>
          <w:b/>
          <w:bCs/>
        </w:rPr>
      </w:pPr>
      <w:r w:rsidRPr="001B2C06">
        <w:rPr>
          <w:rFonts w:ascii="Times-Roman" w:hAnsi="Times-Roman"/>
          <w:b/>
          <w:bCs/>
          <w:lang w:val="en-US"/>
        </w:rPr>
        <w:t xml:space="preserve">Comparing to the case of uni-directional deployment there is </w:t>
      </w:r>
      <w:r>
        <w:rPr>
          <w:rFonts w:ascii="Times-Roman" w:hAnsi="Times-Roman"/>
          <w:b/>
          <w:bCs/>
          <w:lang w:val="en-US"/>
        </w:rPr>
        <w:t>moderate</w:t>
      </w:r>
      <w:r w:rsidRPr="001B2C06">
        <w:rPr>
          <w:rFonts w:ascii="Times-Roman" w:hAnsi="Times-Roman"/>
          <w:b/>
          <w:bCs/>
          <w:lang w:val="en-US"/>
        </w:rPr>
        <w:t xml:space="preserve"> performance improvement on the half of the distance. </w:t>
      </w:r>
    </w:p>
    <w:p w14:paraId="7F7A7AD6" w14:textId="77777777" w:rsidR="009C6012" w:rsidRPr="00A627C2" w:rsidRDefault="009C6012" w:rsidP="00E25782">
      <w:pPr>
        <w:pStyle w:val="ListParagraph"/>
        <w:numPr>
          <w:ilvl w:val="0"/>
          <w:numId w:val="3"/>
        </w:numPr>
        <w:jc w:val="both"/>
        <w:rPr>
          <w:b/>
          <w:bCs/>
        </w:rPr>
      </w:pPr>
      <w:r w:rsidRPr="00A627C2">
        <w:rPr>
          <w:b/>
          <w:bCs/>
        </w:rPr>
        <w:t>From the overall system performance point of view the best way to exploit two directions is to double total system throughput by serving two UEs in uni-directional modes in two opposite directions</w:t>
      </w:r>
    </w:p>
    <w:p w14:paraId="30DCFD79" w14:textId="54C2017F" w:rsidR="00332C4D" w:rsidRDefault="00125CB7" w:rsidP="00E25782">
      <w:pPr>
        <w:jc w:val="both"/>
        <w:rPr>
          <w:lang w:val="en-US"/>
        </w:rPr>
      </w:pPr>
      <w:r>
        <w:rPr>
          <w:lang w:val="en-US"/>
        </w:rPr>
        <w:t>Based on the Observation 3 the following we propose not to consider bi-directional deployment in Scenario-B</w:t>
      </w:r>
    </w:p>
    <w:p w14:paraId="3D10C6AC" w14:textId="779D361C" w:rsidR="00125CB7" w:rsidRPr="00332C4D" w:rsidRDefault="00125CB7" w:rsidP="00E25782">
      <w:pPr>
        <w:jc w:val="both"/>
        <w:rPr>
          <w:lang w:val="en-US"/>
        </w:rPr>
      </w:pPr>
      <w:bookmarkStart w:id="8" w:name="_Hlk71405359"/>
      <w:r w:rsidRPr="00125CB7">
        <w:rPr>
          <w:b/>
          <w:bCs/>
          <w:lang w:val="en-US"/>
        </w:rPr>
        <w:t>Proposal</w:t>
      </w:r>
      <w:r>
        <w:rPr>
          <w:b/>
          <w:bCs/>
          <w:lang w:val="en-US"/>
        </w:rPr>
        <w:t xml:space="preserve"> 8</w:t>
      </w:r>
      <w:r w:rsidRPr="00125CB7">
        <w:rPr>
          <w:b/>
          <w:bCs/>
          <w:lang w:val="en-US"/>
        </w:rPr>
        <w:t>:</w:t>
      </w:r>
      <w:r>
        <w:rPr>
          <w:lang w:val="en-US"/>
        </w:rPr>
        <w:t xml:space="preserve"> </w:t>
      </w:r>
      <w:r w:rsidRPr="00BE229B">
        <w:rPr>
          <w:b/>
          <w:bCs/>
          <w:lang w:eastAsia="ja-JP" w:bidi="hi-IN"/>
        </w:rPr>
        <w:t>RAN4 to consider only uni-directional deployment for Scenario-</w:t>
      </w:r>
      <w:r>
        <w:rPr>
          <w:b/>
          <w:bCs/>
          <w:lang w:eastAsia="ja-JP" w:bidi="hi-IN"/>
        </w:rPr>
        <w:t xml:space="preserve">B. </w:t>
      </w:r>
    </w:p>
    <w:bookmarkEnd w:id="8"/>
    <w:p w14:paraId="3B2057ED" w14:textId="245C89C5" w:rsidR="00465153" w:rsidRDefault="00465153" w:rsidP="00465153">
      <w:pPr>
        <w:pStyle w:val="Heading2"/>
      </w:pPr>
      <w:r>
        <w:lastRenderedPageBreak/>
        <w:t>Signalling</w:t>
      </w:r>
    </w:p>
    <w:p w14:paraId="1C6CFE16" w14:textId="477D5DB5" w:rsidR="00422AEC" w:rsidRDefault="00A47381" w:rsidP="00E25782">
      <w:pPr>
        <w:jc w:val="both"/>
      </w:pPr>
      <w:r w:rsidRPr="00422AEC">
        <w:t>In Scenario-B the RRHs are placed</w:t>
      </w:r>
      <w:r w:rsidR="00422AEC" w:rsidRPr="00422AEC">
        <w:t xml:space="preserve"> 150m away from the railway every 700m</w:t>
      </w:r>
      <w:r w:rsidR="00CC300C" w:rsidRPr="00422AEC">
        <w:t>.</w:t>
      </w:r>
      <w:r w:rsidR="00422AEC">
        <w:t xml:space="preserve"> In total such system will cover quite a big area even if the RRH antennas will be oriented only to the railway. Obviously in this area there will be lots of other non-HST FR2 UEs. It would be a huge waste of resources if the network will not serve them. It needs to differentiate them from HST CPE devices. This differentiation can be done through UE capability signalling</w:t>
      </w:r>
      <w:r w:rsidR="00F165E1">
        <w:t>.</w:t>
      </w:r>
    </w:p>
    <w:p w14:paraId="4D228916" w14:textId="0A279916" w:rsidR="00CC300C" w:rsidRPr="00422AEC" w:rsidRDefault="00422AEC" w:rsidP="00E25782">
      <w:pPr>
        <w:jc w:val="both"/>
      </w:pPr>
      <w:r>
        <w:t xml:space="preserve">The UE capability </w:t>
      </w:r>
      <w:r w:rsidR="00CC300C" w:rsidRPr="00422AEC">
        <w:t xml:space="preserve">might </w:t>
      </w:r>
      <w:r>
        <w:t xml:space="preserve">also </w:t>
      </w:r>
      <w:r w:rsidR="00CC300C" w:rsidRPr="00422AEC">
        <w:t>be helpful to allow future extension</w:t>
      </w:r>
      <w:r>
        <w:t>s of HST FR2.</w:t>
      </w:r>
    </w:p>
    <w:p w14:paraId="7BCA986F" w14:textId="3D9CE802" w:rsidR="005B2C41" w:rsidRPr="00F165E1" w:rsidRDefault="00A47381" w:rsidP="00E25782">
      <w:pPr>
        <w:tabs>
          <w:tab w:val="left" w:pos="1276"/>
        </w:tabs>
        <w:ind w:left="1276" w:hanging="1276"/>
        <w:jc w:val="both"/>
        <w:rPr>
          <w:b/>
        </w:rPr>
      </w:pPr>
      <w:r w:rsidRPr="00CC300C">
        <w:rPr>
          <w:b/>
        </w:rPr>
        <w:t>Proposal 9: UE capability signalling for FR2 HST support need to be introduced</w:t>
      </w:r>
    </w:p>
    <w:p w14:paraId="06B0650C" w14:textId="77777777" w:rsidR="00F01182" w:rsidRPr="00146B4F" w:rsidRDefault="00F01182" w:rsidP="00F01182">
      <w:pPr>
        <w:pStyle w:val="Heading1"/>
      </w:pPr>
      <w:r w:rsidRPr="00146B4F">
        <w:t>Conclusion</w:t>
      </w:r>
    </w:p>
    <w:p w14:paraId="38213628" w14:textId="3A8AE13C" w:rsidR="00F01182" w:rsidRDefault="00F01182" w:rsidP="00E25782">
      <w:pPr>
        <w:tabs>
          <w:tab w:val="left" w:pos="709"/>
        </w:tabs>
        <w:spacing w:before="60" w:after="60"/>
        <w:jc w:val="both"/>
      </w:pPr>
      <w:bookmarkStart w:id="9" w:name="_Hlk71603305"/>
      <w:r w:rsidRPr="00110A5A">
        <w:t xml:space="preserve">In this paper we provided view on </w:t>
      </w:r>
      <w:r w:rsidR="00110A5A" w:rsidRPr="00110A5A">
        <w:t>issues related to Scenario-B deployment aspects</w:t>
      </w:r>
      <w:r>
        <w:t xml:space="preserve"> and made the following proposals:</w:t>
      </w:r>
    </w:p>
    <w:bookmarkEnd w:id="9"/>
    <w:p w14:paraId="11EC019E" w14:textId="77777777" w:rsidR="00110A5A" w:rsidRPr="00165BF6" w:rsidRDefault="00110A5A" w:rsidP="00E25782">
      <w:pPr>
        <w:jc w:val="both"/>
        <w:rPr>
          <w:b/>
          <w:bCs/>
          <w:lang w:eastAsia="ja-JP" w:bidi="hi-IN"/>
        </w:rPr>
      </w:pPr>
      <w:r w:rsidRPr="00165BF6">
        <w:rPr>
          <w:b/>
          <w:bCs/>
          <w:lang w:eastAsia="ja-JP" w:bidi="hi-IN"/>
        </w:rPr>
        <w:t xml:space="preserve">Observation 1: For Scenario-B wide </w:t>
      </w:r>
      <w:r>
        <w:rPr>
          <w:b/>
          <w:bCs/>
          <w:lang w:eastAsia="ja-JP" w:bidi="hi-IN"/>
        </w:rPr>
        <w:t xml:space="preserve">RRH </w:t>
      </w:r>
      <w:r w:rsidRPr="00165BF6">
        <w:rPr>
          <w:b/>
          <w:bCs/>
          <w:lang w:eastAsia="ja-JP" w:bidi="hi-IN"/>
        </w:rPr>
        <w:t>beam can increase the coverage near the RRH while narrow beam can compensate the pathloss far from RRH. Increasing the beamwidth in order to cover more area will lead to performance degradation on most of the distance</w:t>
      </w:r>
      <w:r>
        <w:rPr>
          <w:b/>
          <w:bCs/>
          <w:lang w:eastAsia="ja-JP" w:bidi="hi-IN"/>
        </w:rPr>
        <w:t>.</w:t>
      </w:r>
    </w:p>
    <w:p w14:paraId="52C287CC" w14:textId="77777777" w:rsidR="00110A5A" w:rsidRPr="005B2C41" w:rsidRDefault="00110A5A" w:rsidP="00E25782">
      <w:pPr>
        <w:jc w:val="both"/>
        <w:rPr>
          <w:rFonts w:ascii="Times-Roman" w:hAnsi="Times-Roman" w:hint="eastAsia"/>
          <w:b/>
          <w:bCs/>
          <w:lang w:val="en-US"/>
        </w:rPr>
      </w:pPr>
      <w:r w:rsidRPr="005B2C41">
        <w:rPr>
          <w:rFonts w:ascii="Times-Roman" w:hAnsi="Times-Roman"/>
          <w:b/>
          <w:bCs/>
          <w:lang w:val="en-US"/>
        </w:rPr>
        <w:t xml:space="preserve">Proposal 1: </w:t>
      </w:r>
      <w:r>
        <w:rPr>
          <w:rFonts w:ascii="Times-Roman" w:hAnsi="Times-Roman"/>
          <w:b/>
          <w:bCs/>
          <w:lang w:val="en-US"/>
        </w:rPr>
        <w:t xml:space="preserve">For uni-directional Scenario-B deployment RAN4 to </w:t>
      </w:r>
      <w:r w:rsidRPr="005B2C41">
        <w:rPr>
          <w:rFonts w:ascii="Times-Roman" w:hAnsi="Times-Roman"/>
          <w:b/>
          <w:bCs/>
          <w:lang w:val="en-US"/>
        </w:rPr>
        <w:t xml:space="preserve">consider 2 </w:t>
      </w:r>
      <w:r>
        <w:rPr>
          <w:rFonts w:ascii="Times-Roman" w:hAnsi="Times-Roman"/>
          <w:b/>
          <w:bCs/>
          <w:lang w:val="en-US"/>
        </w:rPr>
        <w:t>beams per RRH</w:t>
      </w:r>
      <w:r w:rsidRPr="005B2C41">
        <w:rPr>
          <w:rFonts w:ascii="Times-Roman" w:hAnsi="Times-Roman"/>
          <w:b/>
          <w:bCs/>
          <w:lang w:val="en-US"/>
        </w:rPr>
        <w:t xml:space="preserve"> </w:t>
      </w:r>
      <w:r>
        <w:rPr>
          <w:rFonts w:ascii="Times-Roman" w:hAnsi="Times-Roman"/>
          <w:b/>
          <w:bCs/>
          <w:lang w:val="en-US"/>
        </w:rPr>
        <w:t>panel</w:t>
      </w:r>
    </w:p>
    <w:p w14:paraId="0BE07813" w14:textId="77777777" w:rsidR="00110A5A" w:rsidRDefault="00110A5A" w:rsidP="00E25782">
      <w:pPr>
        <w:jc w:val="both"/>
        <w:rPr>
          <w:rFonts w:ascii="Times-Roman" w:hAnsi="Times-Roman" w:hint="eastAsia"/>
          <w:b/>
          <w:bCs/>
          <w:lang w:val="en-US"/>
        </w:rPr>
      </w:pPr>
      <w:r w:rsidRPr="00385BF8">
        <w:rPr>
          <w:rFonts w:ascii="Times-Roman" w:hAnsi="Times-Roman"/>
          <w:b/>
          <w:bCs/>
          <w:lang w:val="en-US"/>
        </w:rPr>
        <w:t xml:space="preserve">Proposal 2: </w:t>
      </w:r>
      <w:r>
        <w:rPr>
          <w:b/>
        </w:rPr>
        <w:t xml:space="preserve">For uni-directional Scenario-B deployment </w:t>
      </w:r>
      <w:r>
        <w:rPr>
          <w:rFonts w:ascii="Times-Roman" w:hAnsi="Times-Roman"/>
          <w:b/>
          <w:bCs/>
          <w:lang w:val="en-US"/>
        </w:rPr>
        <w:t>RAN4 to consider b</w:t>
      </w:r>
      <w:r w:rsidRPr="00385BF8">
        <w:rPr>
          <w:rFonts w:ascii="Times-Roman" w:hAnsi="Times-Roman"/>
          <w:b/>
          <w:bCs/>
          <w:lang w:val="en-US"/>
        </w:rPr>
        <w:t xml:space="preserve">eam dwelling time </w:t>
      </w:r>
      <w:r>
        <w:rPr>
          <w:rFonts w:ascii="Times-Roman" w:hAnsi="Times-Roman"/>
          <w:b/>
          <w:bCs/>
          <w:lang w:val="en-US"/>
        </w:rPr>
        <w:t xml:space="preserve">equal to 5.17s </w:t>
      </w:r>
      <w:r w:rsidRPr="00385BF8">
        <w:rPr>
          <w:rFonts w:ascii="Times-Roman" w:hAnsi="Times-Roman"/>
          <w:b/>
          <w:bCs/>
          <w:lang w:val="en-US"/>
        </w:rPr>
        <w:t xml:space="preserve">for the boresight beam and </w:t>
      </w:r>
      <w:r>
        <w:rPr>
          <w:rFonts w:ascii="Times-Roman" w:hAnsi="Times-Roman"/>
          <w:b/>
          <w:bCs/>
          <w:lang w:val="en-US"/>
        </w:rPr>
        <w:t xml:space="preserve">2.03s </w:t>
      </w:r>
      <w:r w:rsidRPr="00385BF8">
        <w:rPr>
          <w:rFonts w:ascii="Times-Roman" w:hAnsi="Times-Roman"/>
          <w:b/>
          <w:bCs/>
          <w:lang w:val="en-US"/>
        </w:rPr>
        <w:t>for the second beam.</w:t>
      </w:r>
    </w:p>
    <w:p w14:paraId="3D6B3803" w14:textId="0E3F1964" w:rsidR="00110A5A" w:rsidRDefault="00110A5A" w:rsidP="00E25782">
      <w:pPr>
        <w:jc w:val="both"/>
        <w:rPr>
          <w:b/>
          <w:lang w:val="en-US"/>
        </w:rPr>
      </w:pPr>
      <w:r>
        <w:rPr>
          <w:rFonts w:ascii="Times-Roman" w:hAnsi="Times-Roman"/>
          <w:b/>
          <w:bCs/>
          <w:lang w:val="en-US"/>
        </w:rPr>
        <w:t xml:space="preserve">Proposal 3: </w:t>
      </w:r>
      <w:r>
        <w:rPr>
          <w:b/>
        </w:rPr>
        <w:t xml:space="preserve">For uni-directional Scenario-B deployment </w:t>
      </w:r>
      <w:r w:rsidRPr="00C9384D">
        <w:rPr>
          <w:b/>
          <w:lang w:val="en-US"/>
        </w:rPr>
        <w:t>RAN4</w:t>
      </w:r>
      <w:r>
        <w:rPr>
          <w:b/>
          <w:lang w:val="en-US"/>
        </w:rPr>
        <w:t xml:space="preserve"> to consider switching point between RRHs at Ds_offset = 232m.</w:t>
      </w:r>
    </w:p>
    <w:p w14:paraId="7DAC7390" w14:textId="77777777" w:rsidR="00110A5A" w:rsidRPr="00465153" w:rsidRDefault="00110A5A" w:rsidP="00E25782">
      <w:pPr>
        <w:jc w:val="both"/>
        <w:rPr>
          <w:rFonts w:ascii="Times-Roman" w:hAnsi="Times-Roman" w:hint="eastAsia"/>
          <w:b/>
          <w:bCs/>
          <w:lang w:val="en-US"/>
        </w:rPr>
      </w:pPr>
      <w:r w:rsidRPr="00465153">
        <w:rPr>
          <w:rFonts w:ascii="Times-Roman" w:hAnsi="Times-Roman"/>
          <w:b/>
          <w:bCs/>
          <w:lang w:val="en-US"/>
        </w:rPr>
        <w:t xml:space="preserve">Proposal </w:t>
      </w:r>
      <w:r>
        <w:rPr>
          <w:rFonts w:ascii="Times-Roman" w:hAnsi="Times-Roman"/>
          <w:b/>
          <w:bCs/>
          <w:lang w:val="en-US"/>
        </w:rPr>
        <w:t>4</w:t>
      </w:r>
      <w:r w:rsidRPr="00465153">
        <w:rPr>
          <w:rFonts w:ascii="Times-Roman" w:hAnsi="Times-Roman"/>
          <w:b/>
          <w:bCs/>
          <w:lang w:val="en-US"/>
        </w:rPr>
        <w:t>:</w:t>
      </w:r>
      <w:r>
        <w:rPr>
          <w:rFonts w:ascii="Times-Roman" w:hAnsi="Times-Roman"/>
          <w:lang w:val="en-US"/>
        </w:rPr>
        <w:t xml:space="preserve"> </w:t>
      </w:r>
      <w:r>
        <w:rPr>
          <w:rFonts w:ascii="Times-Roman" w:hAnsi="Times-Roman"/>
          <w:b/>
          <w:bCs/>
          <w:lang w:val="en-US"/>
        </w:rPr>
        <w:t xml:space="preserve">For </w:t>
      </w:r>
      <w:r>
        <w:rPr>
          <w:b/>
        </w:rPr>
        <w:t>uni-directional Scenario-B</w:t>
      </w:r>
      <w:r>
        <w:rPr>
          <w:rFonts w:ascii="Times-Roman" w:hAnsi="Times-Roman"/>
          <w:b/>
          <w:bCs/>
          <w:lang w:val="en-US"/>
        </w:rPr>
        <w:t xml:space="preserve"> deployment RAN4 to </w:t>
      </w:r>
      <w:r w:rsidRPr="005B2C41">
        <w:rPr>
          <w:rFonts w:ascii="Times-Roman" w:hAnsi="Times-Roman"/>
          <w:b/>
          <w:bCs/>
          <w:lang w:val="en-US"/>
        </w:rPr>
        <w:t xml:space="preserve">consider </w:t>
      </w:r>
      <w:r>
        <w:rPr>
          <w:rFonts w:ascii="Times-Roman" w:hAnsi="Times-Roman"/>
          <w:b/>
          <w:bCs/>
          <w:lang w:val="en-US"/>
        </w:rPr>
        <w:t>1</w:t>
      </w:r>
      <w:r w:rsidRPr="005B2C41">
        <w:rPr>
          <w:rFonts w:ascii="Times-Roman" w:hAnsi="Times-Roman"/>
          <w:b/>
          <w:bCs/>
          <w:lang w:val="en-US"/>
        </w:rPr>
        <w:t xml:space="preserve"> </w:t>
      </w:r>
      <w:r>
        <w:rPr>
          <w:rFonts w:ascii="Times-Roman" w:hAnsi="Times-Roman"/>
          <w:b/>
          <w:bCs/>
          <w:lang w:val="en-US"/>
        </w:rPr>
        <w:t>beams per UE</w:t>
      </w:r>
      <w:r w:rsidRPr="005B2C41">
        <w:rPr>
          <w:rFonts w:ascii="Times-Roman" w:hAnsi="Times-Roman"/>
          <w:b/>
          <w:bCs/>
          <w:lang w:val="en-US"/>
        </w:rPr>
        <w:t xml:space="preserve"> </w:t>
      </w:r>
      <w:r>
        <w:rPr>
          <w:rFonts w:ascii="Times-Roman" w:hAnsi="Times-Roman"/>
          <w:b/>
          <w:bCs/>
          <w:lang w:val="en-US"/>
        </w:rPr>
        <w:t>panel</w:t>
      </w:r>
    </w:p>
    <w:p w14:paraId="7F7F1236" w14:textId="77777777" w:rsidR="00110A5A" w:rsidRPr="005B2C41" w:rsidRDefault="00110A5A" w:rsidP="00E25782">
      <w:pPr>
        <w:jc w:val="both"/>
        <w:rPr>
          <w:rFonts w:ascii="Times-Roman" w:hAnsi="Times-Roman" w:hint="eastAsia"/>
          <w:b/>
          <w:bCs/>
          <w:lang w:val="en-US"/>
        </w:rPr>
      </w:pPr>
      <w:r w:rsidRPr="005B2C41">
        <w:rPr>
          <w:rFonts w:ascii="Times-Roman" w:hAnsi="Times-Roman"/>
          <w:b/>
          <w:bCs/>
          <w:lang w:val="en-US"/>
        </w:rPr>
        <w:t xml:space="preserve">Proposal </w:t>
      </w:r>
      <w:r>
        <w:rPr>
          <w:rFonts w:ascii="Times-Roman" w:hAnsi="Times-Roman"/>
          <w:b/>
          <w:bCs/>
          <w:lang w:val="en-US"/>
        </w:rPr>
        <w:t>5</w:t>
      </w:r>
      <w:r w:rsidRPr="005B2C41">
        <w:rPr>
          <w:rFonts w:ascii="Times-Roman" w:hAnsi="Times-Roman"/>
          <w:b/>
          <w:bCs/>
          <w:lang w:val="en-US"/>
        </w:rPr>
        <w:t xml:space="preserve">: </w:t>
      </w:r>
      <w:r>
        <w:rPr>
          <w:rFonts w:ascii="Times-Roman" w:hAnsi="Times-Roman"/>
          <w:b/>
          <w:bCs/>
          <w:lang w:val="en-US"/>
        </w:rPr>
        <w:t xml:space="preserve">For </w:t>
      </w:r>
      <w:r>
        <w:rPr>
          <w:b/>
        </w:rPr>
        <w:t>bi-directional Scenario-B</w:t>
      </w:r>
      <w:r>
        <w:rPr>
          <w:rFonts w:ascii="Times-Roman" w:hAnsi="Times-Roman"/>
          <w:b/>
          <w:bCs/>
          <w:lang w:val="en-US"/>
        </w:rPr>
        <w:t xml:space="preserve"> deployment RAN4 to </w:t>
      </w:r>
      <w:r w:rsidRPr="005B2C41">
        <w:rPr>
          <w:rFonts w:ascii="Times-Roman" w:hAnsi="Times-Roman"/>
          <w:b/>
          <w:bCs/>
          <w:lang w:val="en-US"/>
        </w:rPr>
        <w:t xml:space="preserve">consider 2 </w:t>
      </w:r>
      <w:r>
        <w:rPr>
          <w:rFonts w:ascii="Times-Roman" w:hAnsi="Times-Roman"/>
          <w:b/>
          <w:bCs/>
          <w:lang w:val="en-US"/>
        </w:rPr>
        <w:t>beams per RRH</w:t>
      </w:r>
      <w:r w:rsidRPr="005B2C41">
        <w:rPr>
          <w:rFonts w:ascii="Times-Roman" w:hAnsi="Times-Roman"/>
          <w:b/>
          <w:bCs/>
          <w:lang w:val="en-US"/>
        </w:rPr>
        <w:t xml:space="preserve"> </w:t>
      </w:r>
      <w:r>
        <w:rPr>
          <w:rFonts w:ascii="Times-Roman" w:hAnsi="Times-Roman"/>
          <w:b/>
          <w:bCs/>
          <w:lang w:val="en-US"/>
        </w:rPr>
        <w:t>panel, two panels per RRH (4 beams in total).</w:t>
      </w:r>
    </w:p>
    <w:p w14:paraId="48EAAC76" w14:textId="77777777" w:rsidR="00110A5A" w:rsidRPr="00465153" w:rsidRDefault="00110A5A" w:rsidP="00E25782">
      <w:pPr>
        <w:jc w:val="both"/>
        <w:rPr>
          <w:rFonts w:ascii="Times-Roman" w:hAnsi="Times-Roman" w:hint="eastAsia"/>
          <w:b/>
          <w:bCs/>
          <w:lang w:val="en-US"/>
        </w:rPr>
      </w:pPr>
      <w:r w:rsidRPr="00465153">
        <w:rPr>
          <w:rFonts w:ascii="Times-Roman" w:hAnsi="Times-Roman"/>
          <w:b/>
          <w:bCs/>
          <w:lang w:val="en-US"/>
        </w:rPr>
        <w:t xml:space="preserve">Proposal </w:t>
      </w:r>
      <w:r>
        <w:rPr>
          <w:rFonts w:ascii="Times-Roman" w:hAnsi="Times-Roman"/>
          <w:b/>
          <w:bCs/>
          <w:lang w:val="en-US"/>
        </w:rPr>
        <w:t>6</w:t>
      </w:r>
      <w:r w:rsidRPr="00465153">
        <w:rPr>
          <w:rFonts w:ascii="Times-Roman" w:hAnsi="Times-Roman"/>
          <w:b/>
          <w:bCs/>
          <w:lang w:val="en-US"/>
        </w:rPr>
        <w:t>:</w:t>
      </w:r>
      <w:r>
        <w:rPr>
          <w:rFonts w:ascii="Times-Roman" w:hAnsi="Times-Roman"/>
          <w:lang w:val="en-US"/>
        </w:rPr>
        <w:t xml:space="preserve"> </w:t>
      </w:r>
      <w:r>
        <w:rPr>
          <w:rFonts w:ascii="Times-Roman" w:hAnsi="Times-Roman"/>
          <w:b/>
          <w:bCs/>
          <w:lang w:val="en-US"/>
        </w:rPr>
        <w:t xml:space="preserve">For </w:t>
      </w:r>
      <w:r>
        <w:rPr>
          <w:b/>
        </w:rPr>
        <w:t>bi-directional Scenario-B</w:t>
      </w:r>
      <w:r>
        <w:rPr>
          <w:rFonts w:ascii="Times-Roman" w:hAnsi="Times-Roman"/>
          <w:b/>
          <w:bCs/>
          <w:lang w:val="en-US"/>
        </w:rPr>
        <w:t xml:space="preserve"> deployment RAN4 to </w:t>
      </w:r>
      <w:r w:rsidRPr="005B2C41">
        <w:rPr>
          <w:rFonts w:ascii="Times-Roman" w:hAnsi="Times-Roman"/>
          <w:b/>
          <w:bCs/>
          <w:lang w:val="en-US"/>
        </w:rPr>
        <w:t xml:space="preserve">consider </w:t>
      </w:r>
      <w:r>
        <w:rPr>
          <w:rFonts w:ascii="Times-Roman" w:hAnsi="Times-Roman"/>
          <w:b/>
          <w:bCs/>
          <w:lang w:val="en-US"/>
        </w:rPr>
        <w:t>1</w:t>
      </w:r>
      <w:r w:rsidRPr="005B2C41">
        <w:rPr>
          <w:rFonts w:ascii="Times-Roman" w:hAnsi="Times-Roman"/>
          <w:b/>
          <w:bCs/>
          <w:lang w:val="en-US"/>
        </w:rPr>
        <w:t xml:space="preserve"> </w:t>
      </w:r>
      <w:r>
        <w:rPr>
          <w:rFonts w:ascii="Times-Roman" w:hAnsi="Times-Roman"/>
          <w:b/>
          <w:bCs/>
          <w:lang w:val="en-US"/>
        </w:rPr>
        <w:t>beam per UE</w:t>
      </w:r>
      <w:r w:rsidRPr="005B2C41">
        <w:rPr>
          <w:rFonts w:ascii="Times-Roman" w:hAnsi="Times-Roman"/>
          <w:b/>
          <w:bCs/>
          <w:lang w:val="en-US"/>
        </w:rPr>
        <w:t xml:space="preserve"> </w:t>
      </w:r>
      <w:r>
        <w:rPr>
          <w:rFonts w:ascii="Times-Roman" w:hAnsi="Times-Roman"/>
          <w:b/>
          <w:bCs/>
          <w:lang w:val="en-US"/>
        </w:rPr>
        <w:t>panel, two panels per UE (2 beams in total).</w:t>
      </w:r>
    </w:p>
    <w:p w14:paraId="5045411A" w14:textId="77777777" w:rsidR="00110A5A" w:rsidRDefault="00110A5A" w:rsidP="00E25782">
      <w:pPr>
        <w:jc w:val="both"/>
        <w:rPr>
          <w:rFonts w:ascii="Times-Roman" w:hAnsi="Times-Roman" w:hint="eastAsia"/>
          <w:b/>
          <w:bCs/>
          <w:lang w:val="en-US"/>
        </w:rPr>
      </w:pPr>
      <w:r w:rsidRPr="00385BF8">
        <w:rPr>
          <w:rFonts w:ascii="Times-Roman" w:hAnsi="Times-Roman"/>
          <w:b/>
          <w:bCs/>
          <w:lang w:val="en-US"/>
        </w:rPr>
        <w:t xml:space="preserve">Proposal </w:t>
      </w:r>
      <w:r>
        <w:rPr>
          <w:rFonts w:ascii="Times-Roman" w:hAnsi="Times-Roman"/>
          <w:b/>
          <w:bCs/>
          <w:lang w:val="en-US"/>
        </w:rPr>
        <w:t>7</w:t>
      </w:r>
      <w:r w:rsidRPr="00385BF8">
        <w:rPr>
          <w:rFonts w:ascii="Times-Roman" w:hAnsi="Times-Roman"/>
          <w:b/>
          <w:bCs/>
          <w:lang w:val="en-US"/>
        </w:rPr>
        <w:t xml:space="preserve">: </w:t>
      </w:r>
      <w:r>
        <w:rPr>
          <w:b/>
        </w:rPr>
        <w:t xml:space="preserve">For bi-directional Scenario-B deployment </w:t>
      </w:r>
      <w:r>
        <w:rPr>
          <w:rFonts w:ascii="Times-Roman" w:hAnsi="Times-Roman"/>
          <w:b/>
          <w:bCs/>
          <w:lang w:val="en-US"/>
        </w:rPr>
        <w:t>RAN4 to consider b</w:t>
      </w:r>
      <w:r w:rsidRPr="00385BF8">
        <w:rPr>
          <w:rFonts w:ascii="Times-Roman" w:hAnsi="Times-Roman"/>
          <w:b/>
          <w:bCs/>
          <w:lang w:val="en-US"/>
        </w:rPr>
        <w:t xml:space="preserve">eam dwelling time </w:t>
      </w:r>
      <w:r w:rsidRPr="00332C4D">
        <w:rPr>
          <w:rFonts w:ascii="Times-Roman" w:hAnsi="Times-Roman"/>
          <w:b/>
          <w:bCs/>
          <w:lang w:val="en-US"/>
        </w:rPr>
        <w:t xml:space="preserve">for two types of intervals </w:t>
      </w:r>
      <w:r>
        <w:rPr>
          <w:rFonts w:ascii="Times-Roman" w:hAnsi="Times-Roman"/>
          <w:b/>
          <w:bCs/>
          <w:lang w:val="en-US"/>
        </w:rPr>
        <w:t xml:space="preserve">equal to </w:t>
      </w:r>
      <w:r w:rsidRPr="00332C4D">
        <w:rPr>
          <w:rFonts w:ascii="Times-Roman" w:hAnsi="Times-Roman"/>
          <w:b/>
          <w:bCs/>
          <w:lang w:val="en-US"/>
        </w:rPr>
        <w:t>0.97s and 2.63s</w:t>
      </w:r>
      <w:r w:rsidRPr="00385BF8">
        <w:rPr>
          <w:rFonts w:ascii="Times-Roman" w:hAnsi="Times-Roman"/>
          <w:b/>
          <w:bCs/>
          <w:lang w:val="en-US"/>
        </w:rPr>
        <w:t>.</w:t>
      </w:r>
    </w:p>
    <w:p w14:paraId="12C1AFBF" w14:textId="77777777" w:rsidR="00110A5A" w:rsidRPr="001B2C06" w:rsidRDefault="00110A5A" w:rsidP="00E25782">
      <w:pPr>
        <w:jc w:val="both"/>
        <w:rPr>
          <w:b/>
        </w:rPr>
      </w:pPr>
      <w:r w:rsidRPr="009C6012">
        <w:rPr>
          <w:b/>
          <w:bCs/>
        </w:rPr>
        <w:t>Observation 2:</w:t>
      </w:r>
      <w:r>
        <w:rPr>
          <w:b/>
          <w:bCs/>
        </w:rPr>
        <w:t xml:space="preserve"> </w:t>
      </w:r>
      <w:r>
        <w:rPr>
          <w:b/>
        </w:rPr>
        <w:t xml:space="preserve">For bi-directional Scenario-B deployment with two RRH beams </w:t>
      </w:r>
      <w:r w:rsidRPr="001B2C06">
        <w:rPr>
          <w:b/>
        </w:rPr>
        <w:t>switching positions are located at Ds_offset = [-700, -445, -350, -255, 0, 255, 350, 445, 700]</w:t>
      </w:r>
      <w:r>
        <w:rPr>
          <w:b/>
        </w:rPr>
        <w:t>. At each of this points UE changes the serving RRH and the serving direction.</w:t>
      </w:r>
    </w:p>
    <w:p w14:paraId="11812B52" w14:textId="77777777" w:rsidR="00110A5A" w:rsidRDefault="00110A5A" w:rsidP="00E25782">
      <w:pPr>
        <w:jc w:val="both"/>
        <w:rPr>
          <w:rFonts w:ascii="Times-Roman" w:hAnsi="Times-Roman" w:hint="eastAsia"/>
          <w:b/>
          <w:bCs/>
        </w:rPr>
      </w:pPr>
      <w:r w:rsidRPr="008B5C5E">
        <w:rPr>
          <w:rFonts w:ascii="Times-Roman" w:hAnsi="Times-Roman"/>
          <w:b/>
          <w:bCs/>
        </w:rPr>
        <w:t xml:space="preserve">Observation </w:t>
      </w:r>
      <w:r>
        <w:rPr>
          <w:rFonts w:ascii="Times-Roman" w:hAnsi="Times-Roman"/>
          <w:b/>
          <w:bCs/>
        </w:rPr>
        <w:t>3</w:t>
      </w:r>
      <w:r w:rsidRPr="008B5C5E">
        <w:rPr>
          <w:rFonts w:ascii="Times-Roman" w:hAnsi="Times-Roman"/>
          <w:b/>
          <w:bCs/>
        </w:rPr>
        <w:t xml:space="preserve">: </w:t>
      </w:r>
      <w:r>
        <w:rPr>
          <w:rFonts w:ascii="Times-Roman" w:hAnsi="Times-Roman"/>
          <w:b/>
          <w:bCs/>
        </w:rPr>
        <w:t>T</w:t>
      </w:r>
      <w:r w:rsidRPr="008B5C5E">
        <w:rPr>
          <w:rFonts w:ascii="Times-Roman" w:hAnsi="Times-Roman"/>
          <w:b/>
          <w:bCs/>
        </w:rPr>
        <w:t xml:space="preserve">he following pros and cons of bi-directional </w:t>
      </w:r>
      <w:r>
        <w:rPr>
          <w:b/>
        </w:rPr>
        <w:t xml:space="preserve">Scenario-B deployment </w:t>
      </w:r>
      <w:r w:rsidRPr="008B5C5E">
        <w:rPr>
          <w:rFonts w:ascii="Times-Roman" w:hAnsi="Times-Roman"/>
          <w:b/>
          <w:bCs/>
        </w:rPr>
        <w:t>were identified</w:t>
      </w:r>
      <w:r>
        <w:rPr>
          <w:rFonts w:ascii="Times-Roman" w:hAnsi="Times-Roman"/>
          <w:b/>
          <w:bCs/>
        </w:rPr>
        <w:t>:</w:t>
      </w:r>
    </w:p>
    <w:p w14:paraId="2367A0C3" w14:textId="77777777" w:rsidR="00110A5A" w:rsidRDefault="00110A5A" w:rsidP="00E25782">
      <w:pPr>
        <w:pStyle w:val="ListParagraph"/>
        <w:numPr>
          <w:ilvl w:val="0"/>
          <w:numId w:val="3"/>
        </w:numPr>
        <w:jc w:val="both"/>
        <w:rPr>
          <w:b/>
          <w:bCs/>
        </w:rPr>
      </w:pPr>
      <w:r>
        <w:rPr>
          <w:b/>
          <w:bCs/>
        </w:rPr>
        <w:t>Frequent change of serving RRH and consequent change of the direction to the serving RRH leads to complicating of Doppler model which will need to consider each of these switches.</w:t>
      </w:r>
    </w:p>
    <w:p w14:paraId="598F269D" w14:textId="77777777" w:rsidR="00110A5A" w:rsidRPr="00A627C2" w:rsidRDefault="00110A5A" w:rsidP="00E25782">
      <w:pPr>
        <w:pStyle w:val="ListParagraph"/>
        <w:numPr>
          <w:ilvl w:val="0"/>
          <w:numId w:val="3"/>
        </w:numPr>
        <w:jc w:val="both"/>
        <w:rPr>
          <w:b/>
          <w:bCs/>
        </w:rPr>
      </w:pPr>
      <w:r w:rsidRPr="00A627C2">
        <w:rPr>
          <w:b/>
          <w:bCs/>
        </w:rPr>
        <w:t xml:space="preserve">In the cell boundary frequent RRH switching will </w:t>
      </w:r>
      <w:r w:rsidRPr="00A627C2">
        <w:rPr>
          <w:b/>
          <w:bCs/>
          <w:lang w:val="en-US"/>
        </w:rPr>
        <w:t>turn</w:t>
      </w:r>
      <w:r w:rsidRPr="00A627C2">
        <w:rPr>
          <w:b/>
          <w:bCs/>
        </w:rPr>
        <w:t xml:space="preserve"> into handover ping-pong effect </w:t>
      </w:r>
    </w:p>
    <w:p w14:paraId="63C943B4" w14:textId="77777777" w:rsidR="00110A5A" w:rsidRPr="001B2C06" w:rsidRDefault="00110A5A" w:rsidP="00E25782">
      <w:pPr>
        <w:pStyle w:val="ListParagraph"/>
        <w:numPr>
          <w:ilvl w:val="0"/>
          <w:numId w:val="3"/>
        </w:numPr>
        <w:jc w:val="both"/>
        <w:rPr>
          <w:rFonts w:ascii="Times-Roman" w:hAnsi="Times-Roman" w:hint="eastAsia"/>
          <w:b/>
          <w:bCs/>
        </w:rPr>
      </w:pPr>
      <w:r w:rsidRPr="001B2C06">
        <w:rPr>
          <w:rFonts w:ascii="Times-Roman" w:hAnsi="Times-Roman"/>
          <w:b/>
          <w:bCs/>
          <w:lang w:val="en-US"/>
        </w:rPr>
        <w:t xml:space="preserve">Comparing to the case of uni-directional deployment there is </w:t>
      </w:r>
      <w:r>
        <w:rPr>
          <w:rFonts w:ascii="Times-Roman" w:hAnsi="Times-Roman"/>
          <w:b/>
          <w:bCs/>
          <w:lang w:val="en-US"/>
        </w:rPr>
        <w:t>moderate</w:t>
      </w:r>
      <w:r w:rsidRPr="001B2C06">
        <w:rPr>
          <w:rFonts w:ascii="Times-Roman" w:hAnsi="Times-Roman"/>
          <w:b/>
          <w:bCs/>
          <w:lang w:val="en-US"/>
        </w:rPr>
        <w:t xml:space="preserve"> performance improvement on the half of the distance. </w:t>
      </w:r>
    </w:p>
    <w:p w14:paraId="3B373518" w14:textId="77777777" w:rsidR="00110A5A" w:rsidRPr="00A627C2" w:rsidRDefault="00110A5A" w:rsidP="00E25782">
      <w:pPr>
        <w:pStyle w:val="ListParagraph"/>
        <w:numPr>
          <w:ilvl w:val="0"/>
          <w:numId w:val="3"/>
        </w:numPr>
        <w:jc w:val="both"/>
        <w:rPr>
          <w:b/>
          <w:bCs/>
        </w:rPr>
      </w:pPr>
      <w:r w:rsidRPr="00A627C2">
        <w:rPr>
          <w:b/>
          <w:bCs/>
        </w:rPr>
        <w:t>From the overall system performance point of view the best way to exploit two directions is to double total system throughput by serving two UEs in uni-directional modes in two opposite directions</w:t>
      </w:r>
    </w:p>
    <w:p w14:paraId="60675E35" w14:textId="4E8AB10B" w:rsidR="00110A5A" w:rsidRPr="00332C4D" w:rsidRDefault="00110A5A" w:rsidP="00E25782">
      <w:pPr>
        <w:jc w:val="both"/>
        <w:rPr>
          <w:lang w:val="en-US"/>
        </w:rPr>
      </w:pPr>
      <w:r w:rsidRPr="00125CB7">
        <w:rPr>
          <w:b/>
          <w:bCs/>
          <w:lang w:val="en-US"/>
        </w:rPr>
        <w:t>Proposal</w:t>
      </w:r>
      <w:r>
        <w:rPr>
          <w:b/>
          <w:bCs/>
          <w:lang w:val="en-US"/>
        </w:rPr>
        <w:t xml:space="preserve"> 8</w:t>
      </w:r>
      <w:r w:rsidRPr="00125CB7">
        <w:rPr>
          <w:b/>
          <w:bCs/>
          <w:lang w:val="en-US"/>
        </w:rPr>
        <w:t>:</w:t>
      </w:r>
      <w:r>
        <w:rPr>
          <w:lang w:val="en-US"/>
        </w:rPr>
        <w:t xml:space="preserve"> </w:t>
      </w:r>
      <w:r w:rsidRPr="00BE229B">
        <w:rPr>
          <w:b/>
          <w:bCs/>
          <w:lang w:eastAsia="ja-JP" w:bidi="hi-IN"/>
        </w:rPr>
        <w:t>RAN4 to consider only uni-directional deployment for Scenario-</w:t>
      </w:r>
      <w:r>
        <w:rPr>
          <w:b/>
          <w:bCs/>
          <w:lang w:eastAsia="ja-JP" w:bidi="hi-IN"/>
        </w:rPr>
        <w:t>B. Proposals 5-8 should be discarded</w:t>
      </w:r>
    </w:p>
    <w:p w14:paraId="25BDCE9F" w14:textId="3F7023C6" w:rsidR="00110A5A" w:rsidRPr="00110A5A" w:rsidRDefault="00110A5A" w:rsidP="00E25782">
      <w:pPr>
        <w:jc w:val="both"/>
        <w:rPr>
          <w:rFonts w:ascii="Times-Roman" w:hAnsi="Times-Roman" w:hint="eastAsia"/>
          <w:b/>
          <w:bCs/>
          <w:lang w:val="en-US"/>
        </w:rPr>
      </w:pPr>
      <w:r w:rsidRPr="00CC300C">
        <w:rPr>
          <w:b/>
        </w:rPr>
        <w:t>Proposal 9: UE capability signalling for FR2 HST support need to be introduced</w:t>
      </w:r>
    </w:p>
    <w:p w14:paraId="0F869E2E" w14:textId="77777777" w:rsidR="00F01182" w:rsidRPr="00146B4F" w:rsidRDefault="00F01182" w:rsidP="00F01182">
      <w:pPr>
        <w:pStyle w:val="Heading1"/>
      </w:pPr>
      <w:r w:rsidRPr="00146B4F">
        <w:t>References</w:t>
      </w:r>
    </w:p>
    <w:p w14:paraId="3A6F029C" w14:textId="6169C64A" w:rsidR="00F01182" w:rsidRPr="00CC5DB4" w:rsidRDefault="00AF0646" w:rsidP="00F01182">
      <w:pPr>
        <w:widowControl w:val="0"/>
        <w:numPr>
          <w:ilvl w:val="0"/>
          <w:numId w:val="1"/>
        </w:numPr>
        <w:jc w:val="both"/>
        <w:rPr>
          <w:lang w:val="en-US"/>
        </w:rPr>
      </w:pPr>
      <w:bookmarkStart w:id="10" w:name="_Hlk71599736"/>
      <w:r w:rsidRPr="00CC5DB4">
        <w:t xml:space="preserve">R4-2106100 </w:t>
      </w:r>
      <w:r w:rsidR="00CC5DB4" w:rsidRPr="00CC5DB4">
        <w:t>“</w:t>
      </w:r>
      <w:r w:rsidRPr="00CC5DB4">
        <w:t>WF on FR2 HST Deployment Scenario Analysis</w:t>
      </w:r>
      <w:r w:rsidR="00CC5DB4" w:rsidRPr="00CC5DB4">
        <w:t>”</w:t>
      </w:r>
      <w:r w:rsidRPr="00CC5DB4">
        <w:t xml:space="preserve">, Samsung, </w:t>
      </w:r>
      <w:r w:rsidR="00CC5DB4" w:rsidRPr="00CC5DB4">
        <w:t xml:space="preserve">RAN4 #98-bis-e, </w:t>
      </w:r>
      <w:r w:rsidRPr="00CC5DB4">
        <w:t>April, 2021</w:t>
      </w:r>
    </w:p>
    <w:p w14:paraId="3CC0444D" w14:textId="4912CDA6" w:rsidR="00CC5DB4" w:rsidRDefault="00CC5DB4" w:rsidP="00CC5DB4">
      <w:pPr>
        <w:widowControl w:val="0"/>
        <w:numPr>
          <w:ilvl w:val="0"/>
          <w:numId w:val="1"/>
        </w:numPr>
        <w:textAlignment w:val="auto"/>
      </w:pPr>
      <w:bookmarkStart w:id="11" w:name="_Ref21009160"/>
      <w:bookmarkStart w:id="12" w:name="_Hlk21019686"/>
      <w:bookmarkStart w:id="13" w:name="_Ref20910096"/>
      <w:r w:rsidRPr="00B40F24">
        <w:t xml:space="preserve">R4-2101267 </w:t>
      </w:r>
      <w:r w:rsidRPr="00564196">
        <w:t>“</w:t>
      </w:r>
      <w:r w:rsidRPr="00B40F24">
        <w:t>Deployment scenarios for HST in FR2</w:t>
      </w:r>
      <w:r w:rsidRPr="00564196">
        <w:t xml:space="preserve">”, </w:t>
      </w:r>
      <w:r w:rsidRPr="00B40F24">
        <w:t>Intel Corporation</w:t>
      </w:r>
      <w:r>
        <w:t>,</w:t>
      </w:r>
      <w:r w:rsidRPr="00564196">
        <w:t xml:space="preserve"> RAN</w:t>
      </w:r>
      <w:r>
        <w:t>4</w:t>
      </w:r>
      <w:r w:rsidRPr="00564196">
        <w:t xml:space="preserve"> #</w:t>
      </w:r>
      <w:r>
        <w:t>98</w:t>
      </w:r>
      <w:r w:rsidRPr="00564196">
        <w:t xml:space="preserve">e, </w:t>
      </w:r>
      <w:bookmarkEnd w:id="11"/>
      <w:bookmarkEnd w:id="12"/>
      <w:bookmarkEnd w:id="13"/>
      <w:r w:rsidRPr="00B40F24">
        <w:t>25th Jan. – 05th Feb. 2021</w:t>
      </w:r>
    </w:p>
    <w:p w14:paraId="7CBEBF5D" w14:textId="6F0D1C7D" w:rsidR="00CC5DB4" w:rsidRPr="00CC5DB4" w:rsidRDefault="00CC5DB4" w:rsidP="00CC5DB4">
      <w:pPr>
        <w:widowControl w:val="0"/>
        <w:numPr>
          <w:ilvl w:val="0"/>
          <w:numId w:val="1"/>
        </w:numPr>
        <w:textAlignment w:val="auto"/>
      </w:pPr>
      <w:r w:rsidRPr="00CC5DB4">
        <w:rPr>
          <w:lang w:val="en-US"/>
        </w:rPr>
        <w:t>R4-2106503</w:t>
      </w:r>
      <w:r>
        <w:rPr>
          <w:lang w:val="en-US"/>
        </w:rPr>
        <w:t xml:space="preserve"> “</w:t>
      </w:r>
      <w:r w:rsidRPr="00CC5DB4">
        <w:rPr>
          <w:lang w:val="en-US"/>
        </w:rPr>
        <w:t>Discussion on FR2 HST deployment aspects</w:t>
      </w:r>
      <w:r>
        <w:rPr>
          <w:lang w:val="en-US"/>
        </w:rPr>
        <w:t>”,</w:t>
      </w:r>
      <w:r w:rsidRPr="00CC5DB4">
        <w:t xml:space="preserve"> </w:t>
      </w:r>
      <w:r w:rsidRPr="00B40F24">
        <w:t>Intel Corporation</w:t>
      </w:r>
      <w:r>
        <w:t>,</w:t>
      </w:r>
      <w:r w:rsidRPr="00564196">
        <w:t xml:space="preserve"> </w:t>
      </w:r>
      <w:r w:rsidRPr="00CC5DB4">
        <w:t>RAN4 #98-bis-e, April, 2021</w:t>
      </w:r>
    </w:p>
    <w:bookmarkEnd w:id="10"/>
    <w:p w14:paraId="041D9034" w14:textId="77777777" w:rsidR="008B6914" w:rsidRDefault="008B6914"/>
    <w:sectPr w:rsidR="008B6914" w:rsidSect="00F0118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1BAA0" w14:textId="77777777" w:rsidR="00677C39" w:rsidRDefault="00677C39" w:rsidP="00F01182">
      <w:pPr>
        <w:spacing w:before="0" w:after="0"/>
      </w:pPr>
      <w:r>
        <w:separator/>
      </w:r>
    </w:p>
  </w:endnote>
  <w:endnote w:type="continuationSeparator" w:id="0">
    <w:p w14:paraId="7C0ADCB4" w14:textId="77777777" w:rsidR="00677C39" w:rsidRDefault="00677C39"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215391" w:rsidRDefault="00215391" w:rsidP="002153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215391" w:rsidRDefault="00215391" w:rsidP="002153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215391" w:rsidRPr="00DB1239" w:rsidRDefault="00215391" w:rsidP="00215391">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6AC3E" w14:textId="77777777" w:rsidR="00A62DD8" w:rsidRDefault="00A62D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C1BBE" w14:textId="77777777" w:rsidR="00677C39" w:rsidRDefault="00677C39" w:rsidP="00F01182">
      <w:pPr>
        <w:spacing w:before="0" w:after="0"/>
      </w:pPr>
      <w:r>
        <w:separator/>
      </w:r>
    </w:p>
  </w:footnote>
  <w:footnote w:type="continuationSeparator" w:id="0">
    <w:p w14:paraId="361EDE79" w14:textId="77777777" w:rsidR="00677C39" w:rsidRDefault="00677C39"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215391" w:rsidRDefault="0021539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1FD6F" w14:textId="77777777" w:rsidR="00A62DD8" w:rsidRDefault="00A62D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2DB43" w14:textId="77777777" w:rsidR="00A62DD8" w:rsidRDefault="00A62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42F2E"/>
    <w:multiLevelType w:val="hybridMultilevel"/>
    <w:tmpl w:val="80465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F3B15"/>
    <w:multiLevelType w:val="hybridMultilevel"/>
    <w:tmpl w:val="9F8C4E5E"/>
    <w:lvl w:ilvl="0" w:tplc="061A5E8E">
      <w:start w:val="1"/>
      <w:numFmt w:val="bullet"/>
      <w:lvlText w:val=""/>
      <w:lvlJc w:val="left"/>
      <w:pPr>
        <w:tabs>
          <w:tab w:val="num" w:pos="720"/>
        </w:tabs>
        <w:ind w:left="720" w:hanging="360"/>
      </w:pPr>
      <w:rPr>
        <w:rFonts w:ascii="Wingdings" w:hAnsi="Wingdings" w:hint="default"/>
      </w:rPr>
    </w:lvl>
    <w:lvl w:ilvl="1" w:tplc="C5C00178" w:tentative="1">
      <w:start w:val="1"/>
      <w:numFmt w:val="bullet"/>
      <w:lvlText w:val=""/>
      <w:lvlJc w:val="left"/>
      <w:pPr>
        <w:tabs>
          <w:tab w:val="num" w:pos="1440"/>
        </w:tabs>
        <w:ind w:left="1440" w:hanging="360"/>
      </w:pPr>
      <w:rPr>
        <w:rFonts w:ascii="Wingdings" w:hAnsi="Wingdings" w:hint="default"/>
      </w:rPr>
    </w:lvl>
    <w:lvl w:ilvl="2" w:tplc="C770C8B0" w:tentative="1">
      <w:start w:val="1"/>
      <w:numFmt w:val="bullet"/>
      <w:lvlText w:val=""/>
      <w:lvlJc w:val="left"/>
      <w:pPr>
        <w:tabs>
          <w:tab w:val="num" w:pos="2160"/>
        </w:tabs>
        <w:ind w:left="2160" w:hanging="360"/>
      </w:pPr>
      <w:rPr>
        <w:rFonts w:ascii="Wingdings" w:hAnsi="Wingdings" w:hint="default"/>
      </w:rPr>
    </w:lvl>
    <w:lvl w:ilvl="3" w:tplc="C2B07632" w:tentative="1">
      <w:start w:val="1"/>
      <w:numFmt w:val="bullet"/>
      <w:lvlText w:val=""/>
      <w:lvlJc w:val="left"/>
      <w:pPr>
        <w:tabs>
          <w:tab w:val="num" w:pos="2880"/>
        </w:tabs>
        <w:ind w:left="2880" w:hanging="360"/>
      </w:pPr>
      <w:rPr>
        <w:rFonts w:ascii="Wingdings" w:hAnsi="Wingdings" w:hint="default"/>
      </w:rPr>
    </w:lvl>
    <w:lvl w:ilvl="4" w:tplc="E9BC8664" w:tentative="1">
      <w:start w:val="1"/>
      <w:numFmt w:val="bullet"/>
      <w:lvlText w:val=""/>
      <w:lvlJc w:val="left"/>
      <w:pPr>
        <w:tabs>
          <w:tab w:val="num" w:pos="3600"/>
        </w:tabs>
        <w:ind w:left="3600" w:hanging="360"/>
      </w:pPr>
      <w:rPr>
        <w:rFonts w:ascii="Wingdings" w:hAnsi="Wingdings" w:hint="default"/>
      </w:rPr>
    </w:lvl>
    <w:lvl w:ilvl="5" w:tplc="1AEE5B9C" w:tentative="1">
      <w:start w:val="1"/>
      <w:numFmt w:val="bullet"/>
      <w:lvlText w:val=""/>
      <w:lvlJc w:val="left"/>
      <w:pPr>
        <w:tabs>
          <w:tab w:val="num" w:pos="4320"/>
        </w:tabs>
        <w:ind w:left="4320" w:hanging="360"/>
      </w:pPr>
      <w:rPr>
        <w:rFonts w:ascii="Wingdings" w:hAnsi="Wingdings" w:hint="default"/>
      </w:rPr>
    </w:lvl>
    <w:lvl w:ilvl="6" w:tplc="FE7A3A8C" w:tentative="1">
      <w:start w:val="1"/>
      <w:numFmt w:val="bullet"/>
      <w:lvlText w:val=""/>
      <w:lvlJc w:val="left"/>
      <w:pPr>
        <w:tabs>
          <w:tab w:val="num" w:pos="5040"/>
        </w:tabs>
        <w:ind w:left="5040" w:hanging="360"/>
      </w:pPr>
      <w:rPr>
        <w:rFonts w:ascii="Wingdings" w:hAnsi="Wingdings" w:hint="default"/>
      </w:rPr>
    </w:lvl>
    <w:lvl w:ilvl="7" w:tplc="7CDC6AD4" w:tentative="1">
      <w:start w:val="1"/>
      <w:numFmt w:val="bullet"/>
      <w:lvlText w:val=""/>
      <w:lvlJc w:val="left"/>
      <w:pPr>
        <w:tabs>
          <w:tab w:val="num" w:pos="5760"/>
        </w:tabs>
        <w:ind w:left="5760" w:hanging="360"/>
      </w:pPr>
      <w:rPr>
        <w:rFonts w:ascii="Wingdings" w:hAnsi="Wingdings" w:hint="default"/>
      </w:rPr>
    </w:lvl>
    <w:lvl w:ilvl="8" w:tplc="B006700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E287D2C"/>
    <w:multiLevelType w:val="hybridMultilevel"/>
    <w:tmpl w:val="C2FAA53E"/>
    <w:lvl w:ilvl="0" w:tplc="E0D0343A">
      <w:start w:val="1"/>
      <w:numFmt w:val="bullet"/>
      <w:lvlText w:val=""/>
      <w:lvlJc w:val="left"/>
      <w:pPr>
        <w:tabs>
          <w:tab w:val="num" w:pos="720"/>
        </w:tabs>
        <w:ind w:left="720" w:hanging="360"/>
      </w:pPr>
      <w:rPr>
        <w:rFonts w:ascii="Wingdings" w:hAnsi="Wingdings" w:hint="default"/>
      </w:rPr>
    </w:lvl>
    <w:lvl w:ilvl="1" w:tplc="E1D2F9F2">
      <w:start w:val="1"/>
      <w:numFmt w:val="bullet"/>
      <w:lvlText w:val=""/>
      <w:lvlJc w:val="left"/>
      <w:pPr>
        <w:tabs>
          <w:tab w:val="num" w:pos="1440"/>
        </w:tabs>
        <w:ind w:left="1440" w:hanging="360"/>
      </w:pPr>
      <w:rPr>
        <w:rFonts w:ascii="Wingdings" w:hAnsi="Wingdings" w:hint="default"/>
      </w:rPr>
    </w:lvl>
    <w:lvl w:ilvl="2" w:tplc="3B64CA54" w:tentative="1">
      <w:start w:val="1"/>
      <w:numFmt w:val="bullet"/>
      <w:lvlText w:val=""/>
      <w:lvlJc w:val="left"/>
      <w:pPr>
        <w:tabs>
          <w:tab w:val="num" w:pos="2160"/>
        </w:tabs>
        <w:ind w:left="2160" w:hanging="360"/>
      </w:pPr>
      <w:rPr>
        <w:rFonts w:ascii="Wingdings" w:hAnsi="Wingdings" w:hint="default"/>
      </w:rPr>
    </w:lvl>
    <w:lvl w:ilvl="3" w:tplc="972AB688" w:tentative="1">
      <w:start w:val="1"/>
      <w:numFmt w:val="bullet"/>
      <w:lvlText w:val=""/>
      <w:lvlJc w:val="left"/>
      <w:pPr>
        <w:tabs>
          <w:tab w:val="num" w:pos="2880"/>
        </w:tabs>
        <w:ind w:left="2880" w:hanging="360"/>
      </w:pPr>
      <w:rPr>
        <w:rFonts w:ascii="Wingdings" w:hAnsi="Wingdings" w:hint="default"/>
      </w:rPr>
    </w:lvl>
    <w:lvl w:ilvl="4" w:tplc="23FAAC04" w:tentative="1">
      <w:start w:val="1"/>
      <w:numFmt w:val="bullet"/>
      <w:lvlText w:val=""/>
      <w:lvlJc w:val="left"/>
      <w:pPr>
        <w:tabs>
          <w:tab w:val="num" w:pos="3600"/>
        </w:tabs>
        <w:ind w:left="3600" w:hanging="360"/>
      </w:pPr>
      <w:rPr>
        <w:rFonts w:ascii="Wingdings" w:hAnsi="Wingdings" w:hint="default"/>
      </w:rPr>
    </w:lvl>
    <w:lvl w:ilvl="5" w:tplc="AEB010EE" w:tentative="1">
      <w:start w:val="1"/>
      <w:numFmt w:val="bullet"/>
      <w:lvlText w:val=""/>
      <w:lvlJc w:val="left"/>
      <w:pPr>
        <w:tabs>
          <w:tab w:val="num" w:pos="4320"/>
        </w:tabs>
        <w:ind w:left="4320" w:hanging="360"/>
      </w:pPr>
      <w:rPr>
        <w:rFonts w:ascii="Wingdings" w:hAnsi="Wingdings" w:hint="default"/>
      </w:rPr>
    </w:lvl>
    <w:lvl w:ilvl="6" w:tplc="D97C1C16" w:tentative="1">
      <w:start w:val="1"/>
      <w:numFmt w:val="bullet"/>
      <w:lvlText w:val=""/>
      <w:lvlJc w:val="left"/>
      <w:pPr>
        <w:tabs>
          <w:tab w:val="num" w:pos="5040"/>
        </w:tabs>
        <w:ind w:left="5040" w:hanging="360"/>
      </w:pPr>
      <w:rPr>
        <w:rFonts w:ascii="Wingdings" w:hAnsi="Wingdings" w:hint="default"/>
      </w:rPr>
    </w:lvl>
    <w:lvl w:ilvl="7" w:tplc="CF905736" w:tentative="1">
      <w:start w:val="1"/>
      <w:numFmt w:val="bullet"/>
      <w:lvlText w:val=""/>
      <w:lvlJc w:val="left"/>
      <w:pPr>
        <w:tabs>
          <w:tab w:val="num" w:pos="5760"/>
        </w:tabs>
        <w:ind w:left="5760" w:hanging="360"/>
      </w:pPr>
      <w:rPr>
        <w:rFonts w:ascii="Wingdings" w:hAnsi="Wingdings" w:hint="default"/>
      </w:rPr>
    </w:lvl>
    <w:lvl w:ilvl="8" w:tplc="099E6E2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5" w15:restartNumberingAfterBreak="0">
    <w:nsid w:val="506C0791"/>
    <w:multiLevelType w:val="hybridMultilevel"/>
    <w:tmpl w:val="D3BC5CEE"/>
    <w:lvl w:ilvl="0" w:tplc="04090001">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6"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6"/>
  </w:num>
  <w:num w:numId="3">
    <w:abstractNumId w:val="5"/>
  </w:num>
  <w:num w:numId="4">
    <w:abstractNumId w:val="0"/>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25ABE"/>
    <w:rsid w:val="00097F03"/>
    <w:rsid w:val="000C591A"/>
    <w:rsid w:val="00110A5A"/>
    <w:rsid w:val="00125CB7"/>
    <w:rsid w:val="00165BF6"/>
    <w:rsid w:val="00176867"/>
    <w:rsid w:val="001B0D4E"/>
    <w:rsid w:val="001B2C06"/>
    <w:rsid w:val="001C355C"/>
    <w:rsid w:val="00215391"/>
    <w:rsid w:val="00273178"/>
    <w:rsid w:val="002C374D"/>
    <w:rsid w:val="00324A69"/>
    <w:rsid w:val="00332C4D"/>
    <w:rsid w:val="0035026C"/>
    <w:rsid w:val="00381492"/>
    <w:rsid w:val="0038168A"/>
    <w:rsid w:val="00385BF8"/>
    <w:rsid w:val="0038613C"/>
    <w:rsid w:val="003A1413"/>
    <w:rsid w:val="003A4C16"/>
    <w:rsid w:val="003C767B"/>
    <w:rsid w:val="003D7DDE"/>
    <w:rsid w:val="003E598B"/>
    <w:rsid w:val="00422AEC"/>
    <w:rsid w:val="00465153"/>
    <w:rsid w:val="004E6689"/>
    <w:rsid w:val="00572C2C"/>
    <w:rsid w:val="0059369B"/>
    <w:rsid w:val="005B2C41"/>
    <w:rsid w:val="005E461E"/>
    <w:rsid w:val="00677C39"/>
    <w:rsid w:val="006B6119"/>
    <w:rsid w:val="006B78C6"/>
    <w:rsid w:val="0070074D"/>
    <w:rsid w:val="00705501"/>
    <w:rsid w:val="00765AB1"/>
    <w:rsid w:val="00774B71"/>
    <w:rsid w:val="00796A0D"/>
    <w:rsid w:val="007B3735"/>
    <w:rsid w:val="007D1980"/>
    <w:rsid w:val="0085678E"/>
    <w:rsid w:val="0089734D"/>
    <w:rsid w:val="008B5C5E"/>
    <w:rsid w:val="008B6914"/>
    <w:rsid w:val="00905D6F"/>
    <w:rsid w:val="009304C2"/>
    <w:rsid w:val="00944A19"/>
    <w:rsid w:val="00944D09"/>
    <w:rsid w:val="0096263A"/>
    <w:rsid w:val="009A67DD"/>
    <w:rsid w:val="009C6012"/>
    <w:rsid w:val="009C6BF8"/>
    <w:rsid w:val="009D225E"/>
    <w:rsid w:val="00A20DFD"/>
    <w:rsid w:val="00A47381"/>
    <w:rsid w:val="00A627C2"/>
    <w:rsid w:val="00A62DD8"/>
    <w:rsid w:val="00AB081E"/>
    <w:rsid w:val="00AE7387"/>
    <w:rsid w:val="00AF0646"/>
    <w:rsid w:val="00BB3F09"/>
    <w:rsid w:val="00BE2DCB"/>
    <w:rsid w:val="00BF183A"/>
    <w:rsid w:val="00BF406F"/>
    <w:rsid w:val="00C136C5"/>
    <w:rsid w:val="00C65EF3"/>
    <w:rsid w:val="00C74833"/>
    <w:rsid w:val="00CC300C"/>
    <w:rsid w:val="00CC5DB4"/>
    <w:rsid w:val="00D405B6"/>
    <w:rsid w:val="00E2557E"/>
    <w:rsid w:val="00E25782"/>
    <w:rsid w:val="00ED248A"/>
    <w:rsid w:val="00ED5851"/>
    <w:rsid w:val="00EE2616"/>
    <w:rsid w:val="00F01182"/>
    <w:rsid w:val="00F133DC"/>
    <w:rsid w:val="00F165E1"/>
    <w:rsid w:val="00F5711B"/>
    <w:rsid w:val="00F81F92"/>
    <w:rsid w:val="00F94E10"/>
    <w:rsid w:val="00FA0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097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5C5E"/>
    <w:pPr>
      <w:ind w:left="720"/>
      <w:contextualSpacing/>
    </w:pPr>
  </w:style>
  <w:style w:type="paragraph" w:styleId="BalloonText">
    <w:name w:val="Balloon Text"/>
    <w:basedOn w:val="Normal"/>
    <w:link w:val="BalloonTextChar"/>
    <w:uiPriority w:val="99"/>
    <w:semiHidden/>
    <w:unhideWhenUsed/>
    <w:rsid w:val="00FA00C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00CA"/>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5807155">
      <w:bodyDiv w:val="1"/>
      <w:marLeft w:val="0"/>
      <w:marRight w:val="0"/>
      <w:marTop w:val="0"/>
      <w:marBottom w:val="0"/>
      <w:divBdr>
        <w:top w:val="none" w:sz="0" w:space="0" w:color="auto"/>
        <w:left w:val="none" w:sz="0" w:space="0" w:color="auto"/>
        <w:bottom w:val="none" w:sz="0" w:space="0" w:color="auto"/>
        <w:right w:val="none" w:sz="0" w:space="0" w:color="auto"/>
      </w:divBdr>
      <w:divsChild>
        <w:div w:id="488912244">
          <w:marLeft w:val="360"/>
          <w:marRight w:val="0"/>
          <w:marTop w:val="200"/>
          <w:marBottom w:val="0"/>
          <w:divBdr>
            <w:top w:val="none" w:sz="0" w:space="0" w:color="auto"/>
            <w:left w:val="none" w:sz="0" w:space="0" w:color="auto"/>
            <w:bottom w:val="none" w:sz="0" w:space="0" w:color="auto"/>
            <w:right w:val="none" w:sz="0" w:space="0" w:color="auto"/>
          </w:divBdr>
        </w:div>
      </w:divsChild>
    </w:div>
    <w:div w:id="2042902362">
      <w:bodyDiv w:val="1"/>
      <w:marLeft w:val="0"/>
      <w:marRight w:val="0"/>
      <w:marTop w:val="0"/>
      <w:marBottom w:val="0"/>
      <w:divBdr>
        <w:top w:val="none" w:sz="0" w:space="0" w:color="auto"/>
        <w:left w:val="none" w:sz="0" w:space="0" w:color="auto"/>
        <w:bottom w:val="none" w:sz="0" w:space="0" w:color="auto"/>
        <w:right w:val="none" w:sz="0" w:space="0" w:color="auto"/>
      </w:divBdr>
      <w:divsChild>
        <w:div w:id="70598212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e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1635</TotalTime>
  <Pages>6</Pages>
  <Words>1961</Words>
  <Characters>11181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16</cp:revision>
  <dcterms:created xsi:type="dcterms:W3CDTF">2021-04-27T11:20:00Z</dcterms:created>
  <dcterms:modified xsi:type="dcterms:W3CDTF">2021-05-11T22:57:00Z</dcterms:modified>
</cp:coreProperties>
</file>